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48"/>
      </w:tblGrid>
      <w:tr w:rsidR="000F7A18" w:rsidTr="006F0ABE">
        <w:tc>
          <w:tcPr>
            <w:tcW w:w="13948" w:type="dxa"/>
          </w:tcPr>
          <w:p w:rsidR="000F7A18" w:rsidRPr="00CF76E9" w:rsidRDefault="000F7A18" w:rsidP="006F0ABE">
            <w:pPr>
              <w:rPr>
                <w:b/>
              </w:rPr>
            </w:pPr>
            <w:r w:rsidRPr="00CF76E9">
              <w:rPr>
                <w:b/>
              </w:rPr>
              <w:t>My Question:</w:t>
            </w:r>
          </w:p>
          <w:p w:rsidR="000F7A18" w:rsidRDefault="000F7A18" w:rsidP="006F0ABE"/>
          <w:p w:rsidR="000F7A18" w:rsidRDefault="000F7A18" w:rsidP="006F0ABE"/>
        </w:tc>
      </w:tr>
      <w:tr w:rsidR="000F7A18" w:rsidTr="006F0ABE">
        <w:tc>
          <w:tcPr>
            <w:tcW w:w="13948" w:type="dxa"/>
          </w:tcPr>
          <w:p w:rsidR="000F7A18" w:rsidRPr="00CF76E9" w:rsidRDefault="000F7A18" w:rsidP="006F0ABE">
            <w:pPr>
              <w:rPr>
                <w:b/>
                <w:i/>
              </w:rPr>
            </w:pPr>
            <w:r w:rsidRPr="00CF76E9">
              <w:rPr>
                <w:b/>
                <w:i/>
              </w:rPr>
              <w:t>Analysis of question:</w:t>
            </w:r>
          </w:p>
          <w:p w:rsidR="000F7A18" w:rsidRPr="00275519" w:rsidRDefault="000F7A18" w:rsidP="006F0ABE">
            <w:pPr>
              <w:rPr>
                <w:i/>
                <w:sz w:val="16"/>
                <w:szCs w:val="16"/>
              </w:rPr>
            </w:pPr>
            <w:r w:rsidRPr="00275519">
              <w:rPr>
                <w:i/>
                <w:sz w:val="16"/>
                <w:szCs w:val="16"/>
              </w:rPr>
              <w:t>(what is implied by the command term in my ques</w:t>
            </w:r>
            <w:r w:rsidR="002069DF">
              <w:rPr>
                <w:i/>
                <w:sz w:val="16"/>
                <w:szCs w:val="16"/>
              </w:rPr>
              <w:t>tion? How will this impact my EE</w:t>
            </w:r>
            <w:r w:rsidRPr="00275519">
              <w:rPr>
                <w:i/>
                <w:sz w:val="16"/>
                <w:szCs w:val="16"/>
              </w:rPr>
              <w:t xml:space="preserve"> structure?</w:t>
            </w:r>
            <w:r>
              <w:rPr>
                <w:i/>
                <w:sz w:val="16"/>
                <w:szCs w:val="16"/>
              </w:rPr>
              <w:t xml:space="preserve"> What will be the scope?</w:t>
            </w:r>
            <w:r w:rsidRPr="00275519">
              <w:rPr>
                <w:i/>
                <w:sz w:val="16"/>
                <w:szCs w:val="16"/>
              </w:rPr>
              <w:t>)</w:t>
            </w:r>
          </w:p>
          <w:p w:rsidR="000F7A18" w:rsidRPr="00275519" w:rsidRDefault="000F7A18" w:rsidP="006F0ABE">
            <w:pPr>
              <w:rPr>
                <w:i/>
              </w:rPr>
            </w:pPr>
          </w:p>
        </w:tc>
      </w:tr>
    </w:tbl>
    <w:p w:rsidR="000F7A18" w:rsidRPr="00275519" w:rsidRDefault="000F7A18" w:rsidP="000F7A18">
      <w:pPr>
        <w:rPr>
          <w:b/>
          <w:u w:val="single"/>
        </w:rPr>
      </w:pPr>
    </w:p>
    <w:p w:rsidR="000F7A18" w:rsidRDefault="000F7A18" w:rsidP="000F7A18">
      <w:pPr>
        <w:rPr>
          <w:b/>
          <w:u w:val="single"/>
        </w:rPr>
      </w:pPr>
      <w:r w:rsidRPr="00275519">
        <w:rPr>
          <w:b/>
          <w:u w:val="single"/>
        </w:rPr>
        <w:t>Secondary Research</w:t>
      </w:r>
    </w:p>
    <w:p w:rsidR="000F7A18" w:rsidRPr="001225A8" w:rsidRDefault="002069DF" w:rsidP="000F7A18">
      <w:pPr>
        <w:rPr>
          <w:i/>
        </w:rPr>
      </w:pPr>
      <w:r>
        <w:rPr>
          <w:i/>
        </w:rPr>
        <w:t>Your final, focused research should go into this frame. T</w:t>
      </w:r>
      <w:r w:rsidR="000F7A18">
        <w:rPr>
          <w:i/>
        </w:rPr>
        <w:t xml:space="preserve">he idea is that you will be able to write exclusively from this </w:t>
      </w:r>
      <w:r>
        <w:rPr>
          <w:i/>
        </w:rPr>
        <w:t>document so every word should coun</w:t>
      </w:r>
      <w:r w:rsidR="000F7A18">
        <w:rPr>
          <w:i/>
        </w:rPr>
        <w:t>t</w:t>
      </w:r>
      <w:r>
        <w:rPr>
          <w:i/>
        </w:rPr>
        <w:t xml:space="preserve">. </w:t>
      </w:r>
      <w:r w:rsidR="000F7A18">
        <w:rPr>
          <w:i/>
        </w:rPr>
        <w:t>This will allow for teacher feedback, prevent accidental plagiarism and help you to see connections between your research.</w:t>
      </w:r>
      <w:r w:rsidR="00F34D61">
        <w:rPr>
          <w:i/>
        </w:rPr>
        <w:t xml:space="preserve"> Delete the example.</w:t>
      </w:r>
    </w:p>
    <w:tbl>
      <w:tblPr>
        <w:tblStyle w:val="TableGrid"/>
        <w:tblW w:w="0" w:type="auto"/>
        <w:tblLook w:val="04A0" w:firstRow="1" w:lastRow="0" w:firstColumn="1" w:lastColumn="0" w:noHBand="0" w:noVBand="1"/>
      </w:tblPr>
      <w:tblGrid>
        <w:gridCol w:w="1696"/>
        <w:gridCol w:w="8505"/>
        <w:gridCol w:w="3747"/>
      </w:tblGrid>
      <w:tr w:rsidR="000F7A18" w:rsidTr="002069DF">
        <w:tc>
          <w:tcPr>
            <w:tcW w:w="1696" w:type="dxa"/>
            <w:shd w:val="clear" w:color="auto" w:fill="FFFF00"/>
          </w:tcPr>
          <w:p w:rsidR="000F7A18" w:rsidRDefault="000F7A18" w:rsidP="006F0ABE">
            <w:pPr>
              <w:jc w:val="center"/>
              <w:rPr>
                <w:b/>
              </w:rPr>
            </w:pPr>
            <w:r w:rsidRPr="00275519">
              <w:rPr>
                <w:b/>
              </w:rPr>
              <w:t>Source (MLA 8)</w:t>
            </w:r>
          </w:p>
          <w:p w:rsidR="000F7A18" w:rsidRPr="001225A8" w:rsidRDefault="000F7A18" w:rsidP="006F0ABE">
            <w:pPr>
              <w:jc w:val="center"/>
              <w:rPr>
                <w:i/>
                <w:sz w:val="18"/>
                <w:szCs w:val="18"/>
              </w:rPr>
            </w:pPr>
            <w:r w:rsidRPr="001225A8">
              <w:rPr>
                <w:i/>
                <w:sz w:val="18"/>
                <w:szCs w:val="18"/>
              </w:rPr>
              <w:t>Comment on reliability and usefulness</w:t>
            </w:r>
          </w:p>
        </w:tc>
        <w:tc>
          <w:tcPr>
            <w:tcW w:w="8505" w:type="dxa"/>
            <w:shd w:val="clear" w:color="auto" w:fill="FFFF00"/>
          </w:tcPr>
          <w:p w:rsidR="000F7A18" w:rsidRDefault="000F7A18" w:rsidP="006F0ABE">
            <w:pPr>
              <w:jc w:val="center"/>
              <w:rPr>
                <w:b/>
                <w:u w:val="single"/>
              </w:rPr>
            </w:pPr>
            <w:r w:rsidRPr="00275519">
              <w:rPr>
                <w:b/>
                <w:u w:val="single"/>
              </w:rPr>
              <w:t>Notes</w:t>
            </w:r>
          </w:p>
          <w:p w:rsidR="000F7A18" w:rsidRPr="00275519" w:rsidRDefault="000F7A18" w:rsidP="006F0ABE">
            <w:pPr>
              <w:jc w:val="center"/>
              <w:rPr>
                <w:i/>
                <w:sz w:val="20"/>
                <w:szCs w:val="20"/>
              </w:rPr>
            </w:pPr>
            <w:r w:rsidRPr="00275519">
              <w:rPr>
                <w:i/>
                <w:sz w:val="20"/>
                <w:szCs w:val="20"/>
              </w:rPr>
              <w:t>Sub titles and bullet point summaries, short quotes. Paraphrasing only, no C &amp; P</w:t>
            </w:r>
          </w:p>
        </w:tc>
        <w:tc>
          <w:tcPr>
            <w:tcW w:w="3747" w:type="dxa"/>
            <w:shd w:val="clear" w:color="auto" w:fill="FFFF00"/>
          </w:tcPr>
          <w:p w:rsidR="000F7A18" w:rsidRPr="00275519" w:rsidRDefault="000F7A18" w:rsidP="006F0ABE">
            <w:pPr>
              <w:jc w:val="center"/>
              <w:rPr>
                <w:b/>
                <w:u w:val="single"/>
              </w:rPr>
            </w:pPr>
            <w:r w:rsidRPr="00275519">
              <w:rPr>
                <w:b/>
                <w:u w:val="single"/>
              </w:rPr>
              <w:t>S</w:t>
            </w:r>
            <w:r>
              <w:rPr>
                <w:b/>
                <w:u w:val="single"/>
              </w:rPr>
              <w:t xml:space="preserve">ignificance to </w:t>
            </w:r>
            <w:r w:rsidRPr="00275519">
              <w:rPr>
                <w:b/>
                <w:u w:val="single"/>
              </w:rPr>
              <w:t>my EA</w:t>
            </w:r>
          </w:p>
          <w:p w:rsidR="000F7A18" w:rsidRPr="00275519" w:rsidRDefault="000F7A18" w:rsidP="006F0ABE">
            <w:pPr>
              <w:jc w:val="center"/>
              <w:rPr>
                <w:sz w:val="20"/>
                <w:szCs w:val="20"/>
              </w:rPr>
            </w:pPr>
            <w:r w:rsidRPr="00275519">
              <w:rPr>
                <w:b/>
                <w:sz w:val="20"/>
                <w:szCs w:val="20"/>
              </w:rPr>
              <w:t>1. Therefore</w:t>
            </w:r>
            <w:r w:rsidRPr="00275519">
              <w:rPr>
                <w:sz w:val="20"/>
                <w:szCs w:val="20"/>
              </w:rPr>
              <w:t>… (how does it help answer my question?</w:t>
            </w:r>
            <w:r w:rsidR="00F34D61">
              <w:rPr>
                <w:sz w:val="20"/>
                <w:szCs w:val="20"/>
              </w:rPr>
              <w:t xml:space="preserve"> Do any reliability issues affect this?</w:t>
            </w:r>
            <w:r w:rsidRPr="00275519">
              <w:rPr>
                <w:sz w:val="20"/>
                <w:szCs w:val="20"/>
              </w:rPr>
              <w:t>)</w:t>
            </w:r>
          </w:p>
          <w:p w:rsidR="000F7A18" w:rsidRPr="00275519" w:rsidRDefault="000F7A18" w:rsidP="00F34D61">
            <w:pPr>
              <w:jc w:val="center"/>
            </w:pPr>
            <w:r w:rsidRPr="00275519">
              <w:rPr>
                <w:b/>
                <w:sz w:val="20"/>
                <w:szCs w:val="20"/>
              </w:rPr>
              <w:t>2. Connections</w:t>
            </w:r>
            <w:r w:rsidRPr="00275519">
              <w:rPr>
                <w:sz w:val="20"/>
                <w:szCs w:val="20"/>
              </w:rPr>
              <w:t>… (</w:t>
            </w:r>
            <w:r w:rsidR="00F34D61">
              <w:rPr>
                <w:sz w:val="20"/>
                <w:szCs w:val="20"/>
              </w:rPr>
              <w:t xml:space="preserve">how </w:t>
            </w:r>
            <w:r w:rsidRPr="00275519">
              <w:rPr>
                <w:sz w:val="20"/>
                <w:szCs w:val="20"/>
              </w:rPr>
              <w:t>does it c</w:t>
            </w:r>
            <w:r w:rsidR="00F34D61">
              <w:rPr>
                <w:sz w:val="20"/>
                <w:szCs w:val="20"/>
              </w:rPr>
              <w:t xml:space="preserve">onnect to/support/contradict </w:t>
            </w:r>
            <w:r w:rsidRPr="00275519">
              <w:rPr>
                <w:sz w:val="20"/>
                <w:szCs w:val="20"/>
              </w:rPr>
              <w:t>my other secondary</w:t>
            </w:r>
            <w:r w:rsidR="00F34D61">
              <w:rPr>
                <w:sz w:val="20"/>
                <w:szCs w:val="20"/>
              </w:rPr>
              <w:t xml:space="preserve"> primary</w:t>
            </w:r>
            <w:r w:rsidRPr="00275519">
              <w:rPr>
                <w:sz w:val="20"/>
                <w:szCs w:val="20"/>
              </w:rPr>
              <w:t xml:space="preserve"> research?</w:t>
            </w:r>
          </w:p>
        </w:tc>
      </w:tr>
      <w:tr w:rsidR="000F7A18" w:rsidTr="002069DF">
        <w:tc>
          <w:tcPr>
            <w:tcW w:w="1696" w:type="dxa"/>
            <w:shd w:val="clear" w:color="auto" w:fill="FFFFFF" w:themeFill="background1"/>
          </w:tcPr>
          <w:p w:rsidR="000F7A18" w:rsidRDefault="000F7A18" w:rsidP="006F0ABE">
            <w:pPr>
              <w:rPr>
                <w:i/>
                <w:color w:val="FF0000"/>
              </w:rPr>
            </w:pPr>
            <w:r w:rsidRPr="00275519">
              <w:rPr>
                <w:i/>
                <w:color w:val="FF0000"/>
              </w:rPr>
              <w:t>EXAMPLE</w:t>
            </w:r>
          </w:p>
          <w:p w:rsidR="000F7A18" w:rsidRDefault="000F7A18" w:rsidP="006F0ABE">
            <w:pPr>
              <w:rPr>
                <w:rFonts w:ascii="Open Sans" w:hAnsi="Open Sans"/>
                <w:color w:val="333333"/>
                <w:sz w:val="21"/>
                <w:szCs w:val="21"/>
                <w:shd w:val="clear" w:color="auto" w:fill="FFFFFF"/>
              </w:rPr>
            </w:pPr>
            <w:r w:rsidRPr="001225A8">
              <w:rPr>
                <w:rFonts w:ascii="Open Sans" w:hAnsi="Open Sans"/>
                <w:color w:val="333333"/>
                <w:sz w:val="21"/>
                <w:szCs w:val="21"/>
                <w:shd w:val="clear" w:color="auto" w:fill="FFFFFF"/>
              </w:rPr>
              <w:t xml:space="preserve">"The Roots of Islamophobia in France." Jacobin The Roots of Islamophobia in France Comments. </w:t>
            </w:r>
            <w:proofErr w:type="spellStart"/>
            <w:r w:rsidRPr="001225A8">
              <w:rPr>
                <w:rFonts w:ascii="Open Sans" w:hAnsi="Open Sans"/>
                <w:color w:val="333333"/>
                <w:sz w:val="21"/>
                <w:szCs w:val="21"/>
                <w:shd w:val="clear" w:color="auto" w:fill="FFFFFF"/>
              </w:rPr>
              <w:t>N.p</w:t>
            </w:r>
            <w:proofErr w:type="spellEnd"/>
            <w:r w:rsidRPr="001225A8">
              <w:rPr>
                <w:rFonts w:ascii="Open Sans" w:hAnsi="Open Sans"/>
                <w:color w:val="333333"/>
                <w:sz w:val="21"/>
                <w:szCs w:val="21"/>
                <w:shd w:val="clear" w:color="auto" w:fill="FFFFFF"/>
              </w:rPr>
              <w:t>., 29 Aug. 2016. Web. 16 Jan. 2017.</w:t>
            </w:r>
            <w:r>
              <w:rPr>
                <w:rFonts w:ascii="Open Sans" w:hAnsi="Open Sans"/>
                <w:color w:val="333333"/>
                <w:sz w:val="21"/>
                <w:szCs w:val="21"/>
                <w:shd w:val="clear" w:color="auto" w:fill="FFFFFF"/>
              </w:rPr>
              <w:t>.</w:t>
            </w:r>
          </w:p>
          <w:p w:rsidR="000F7A18" w:rsidRDefault="000F7A18" w:rsidP="006F0ABE">
            <w:pPr>
              <w:rPr>
                <w:i/>
              </w:rPr>
            </w:pPr>
          </w:p>
          <w:p w:rsidR="000F7A18" w:rsidRDefault="000F7A18" w:rsidP="006F0ABE">
            <w:pPr>
              <w:rPr>
                <w:i/>
              </w:rPr>
            </w:pPr>
            <w:r>
              <w:rPr>
                <w:i/>
              </w:rPr>
              <w:t xml:space="preserve">Jacobin magazine is a self-identified socialist </w:t>
            </w:r>
            <w:r>
              <w:rPr>
                <w:i/>
              </w:rPr>
              <w:lastRenderedPageBreak/>
              <w:t xml:space="preserve">publication giving a very left wing interpretation of events.  </w:t>
            </w:r>
          </w:p>
          <w:p w:rsidR="00F34D61" w:rsidRPr="00275519" w:rsidRDefault="00F34D61" w:rsidP="006F0ABE">
            <w:pPr>
              <w:rPr>
                <w:i/>
              </w:rPr>
            </w:pPr>
            <w:r>
              <w:rPr>
                <w:i/>
              </w:rPr>
              <w:t xml:space="preserve">It is </w:t>
            </w:r>
            <w:proofErr w:type="spellStart"/>
            <w:r>
              <w:rPr>
                <w:i/>
              </w:rPr>
              <w:t>redently</w:t>
            </w:r>
            <w:proofErr w:type="spellEnd"/>
            <w:r>
              <w:rPr>
                <w:i/>
              </w:rPr>
              <w:t xml:space="preserve"> published and refers to up to date sources.</w:t>
            </w:r>
          </w:p>
        </w:tc>
        <w:tc>
          <w:tcPr>
            <w:tcW w:w="8505" w:type="dxa"/>
            <w:shd w:val="clear" w:color="auto" w:fill="FFFFFF" w:themeFill="background1"/>
          </w:tcPr>
          <w:p w:rsidR="000F7A18" w:rsidRDefault="000F7A18" w:rsidP="006F0ABE">
            <w:pPr>
              <w:jc w:val="center"/>
              <w:rPr>
                <w:i/>
                <w:color w:val="FF0000"/>
              </w:rPr>
            </w:pPr>
            <w:r w:rsidRPr="00275519">
              <w:rPr>
                <w:i/>
                <w:color w:val="FF0000"/>
              </w:rPr>
              <w:lastRenderedPageBreak/>
              <w:t>EXAMPLE</w:t>
            </w:r>
          </w:p>
          <w:p w:rsidR="000F7A18" w:rsidRPr="00CF76E9" w:rsidRDefault="000F7A18" w:rsidP="006F0ABE">
            <w:pPr>
              <w:rPr>
                <w:b/>
                <w:i/>
              </w:rPr>
            </w:pPr>
            <w:r>
              <w:rPr>
                <w:b/>
                <w:i/>
              </w:rPr>
              <w:t>The French establishment have exploited the recent terror attacks to deliberately escalate Islamophobia. In doing so, they are successfully distracting the working class from increasing economic inequality</w:t>
            </w:r>
            <w:r w:rsidRPr="00CF76E9">
              <w:rPr>
                <w:b/>
                <w:i/>
              </w:rPr>
              <w:t>:</w:t>
            </w:r>
          </w:p>
          <w:p w:rsidR="000F7A18" w:rsidRDefault="000F7A18" w:rsidP="006F0ABE">
            <w:pPr>
              <w:pStyle w:val="NormalWeb"/>
              <w:numPr>
                <w:ilvl w:val="0"/>
                <w:numId w:val="1"/>
              </w:numPr>
              <w:spacing w:before="0" w:beforeAutospacing="0" w:after="0" w:afterAutospacing="0"/>
              <w:textAlignment w:val="baseline"/>
              <w:rPr>
                <w:rFonts w:ascii="Calibri" w:hAnsi="Calibri"/>
                <w:color w:val="000000"/>
                <w:sz w:val="22"/>
                <w:szCs w:val="22"/>
              </w:rPr>
            </w:pPr>
            <w:r w:rsidRPr="00285187">
              <w:rPr>
                <w:rFonts w:ascii="Calibri" w:hAnsi="Calibri"/>
                <w:b/>
                <w:color w:val="000000"/>
                <w:sz w:val="22"/>
                <w:szCs w:val="22"/>
              </w:rPr>
              <w:t>Reported increase prejudice vs French Muslims</w:t>
            </w:r>
            <w:r>
              <w:rPr>
                <w:rFonts w:ascii="Calibri" w:hAnsi="Calibri"/>
                <w:color w:val="000000"/>
                <w:sz w:val="22"/>
                <w:szCs w:val="22"/>
              </w:rPr>
              <w:t xml:space="preserve"> by wider community</w:t>
            </w:r>
          </w:p>
          <w:p w:rsidR="000F7A18" w:rsidRDefault="000F7A18" w:rsidP="006F0ABE">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Dec 16 the authorities in </w:t>
            </w:r>
            <w:proofErr w:type="spellStart"/>
            <w:r>
              <w:rPr>
                <w:rFonts w:ascii="Calibri" w:hAnsi="Calibri"/>
                <w:color w:val="000000"/>
                <w:sz w:val="22"/>
                <w:szCs w:val="22"/>
              </w:rPr>
              <w:t>Eure</w:t>
            </w:r>
            <w:proofErr w:type="spellEnd"/>
            <w:r>
              <w:rPr>
                <w:rFonts w:ascii="Calibri" w:hAnsi="Calibri"/>
                <w:color w:val="000000"/>
                <w:sz w:val="22"/>
                <w:szCs w:val="22"/>
              </w:rPr>
              <w:t xml:space="preserve"> et Loire admitted that they were targeting Muslims as they were trying to prevent any possible attacks, without any specific evidence.</w:t>
            </w:r>
          </w:p>
          <w:p w:rsidR="000F7A18" w:rsidRDefault="000F7A18" w:rsidP="006F0ABE">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Mosques have been closed and violently ransacked by the police, worshippers have been humiliated and degraded.</w:t>
            </w:r>
          </w:p>
          <w:p w:rsidR="000F7A18" w:rsidRDefault="000F7A18" w:rsidP="006F0ABE">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Extremism has been encouraged due to the long-standing and state-sponsored islamophobia as well as the country’s military involvement in Muslim countries.</w:t>
            </w:r>
          </w:p>
          <w:p w:rsidR="000F7A18" w:rsidRDefault="008B00A7" w:rsidP="006F0ABE">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b/>
                <w:color w:val="000000"/>
                <w:sz w:val="22"/>
                <w:szCs w:val="22"/>
              </w:rPr>
              <w:t>Cultural Islamo</w:t>
            </w:r>
            <w:bookmarkStart w:id="0" w:name="_GoBack"/>
            <w:bookmarkEnd w:id="0"/>
            <w:r w:rsidR="000F7A18" w:rsidRPr="00285187">
              <w:rPr>
                <w:rFonts w:ascii="Calibri" w:hAnsi="Calibri"/>
                <w:b/>
                <w:color w:val="000000"/>
                <w:sz w:val="22"/>
                <w:szCs w:val="22"/>
              </w:rPr>
              <w:t>phobia</w:t>
            </w:r>
            <w:r w:rsidR="000F7A18">
              <w:rPr>
                <w:rFonts w:ascii="Calibri" w:hAnsi="Calibri"/>
                <w:color w:val="000000"/>
                <w:sz w:val="22"/>
                <w:szCs w:val="22"/>
              </w:rPr>
              <w:t xml:space="preserve"> established: Charlie Hebdo has published very controversial and racist comics regarding Muslims, the content is satirical and contains stereotypical characters that provoke the readers. </w:t>
            </w:r>
          </w:p>
          <w:p w:rsidR="000F7A18" w:rsidRDefault="000F7A18" w:rsidP="006F0ABE">
            <w:pPr>
              <w:pStyle w:val="NormalWeb"/>
              <w:numPr>
                <w:ilvl w:val="0"/>
                <w:numId w:val="1"/>
              </w:numPr>
              <w:spacing w:before="0" w:beforeAutospacing="0" w:after="0" w:afterAutospacing="0"/>
              <w:textAlignment w:val="baseline"/>
              <w:rPr>
                <w:rFonts w:ascii="Calibri" w:hAnsi="Calibri"/>
                <w:color w:val="000000"/>
                <w:sz w:val="22"/>
                <w:szCs w:val="22"/>
              </w:rPr>
            </w:pPr>
            <w:r w:rsidRPr="00285187">
              <w:rPr>
                <w:rFonts w:ascii="Calibri" w:hAnsi="Calibri"/>
                <w:b/>
                <w:color w:val="000000"/>
                <w:sz w:val="22"/>
                <w:szCs w:val="22"/>
              </w:rPr>
              <w:lastRenderedPageBreak/>
              <w:t>Inequality under the law</w:t>
            </w:r>
            <w:r>
              <w:rPr>
                <w:rFonts w:ascii="Calibri" w:hAnsi="Calibri"/>
                <w:color w:val="000000"/>
                <w:sz w:val="22"/>
                <w:szCs w:val="22"/>
              </w:rPr>
              <w:t xml:space="preserve"> has been a problem for the Muslim community. In 2004 a law on the “secular character of schools” prohibited the wear of any “conspicuous” religious signs such as the hijab/burka.</w:t>
            </w:r>
          </w:p>
          <w:p w:rsidR="000F7A18" w:rsidRDefault="000F7A18" w:rsidP="006F0ABE">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130 cases were reported in 2014 of schoolgirls being excluded from school for wearing a headscarf. </w:t>
            </w:r>
          </w:p>
          <w:p w:rsidR="000F7A18" w:rsidRDefault="000F7A18" w:rsidP="006F0ABE">
            <w:pPr>
              <w:pStyle w:val="NormalWeb"/>
              <w:numPr>
                <w:ilvl w:val="0"/>
                <w:numId w:val="1"/>
              </w:numPr>
              <w:spacing w:before="0" w:beforeAutospacing="0" w:after="0" w:afterAutospacing="0"/>
              <w:textAlignment w:val="baseline"/>
              <w:rPr>
                <w:rFonts w:ascii="Calibri" w:hAnsi="Calibri"/>
                <w:color w:val="000000"/>
                <w:sz w:val="22"/>
                <w:szCs w:val="22"/>
              </w:rPr>
            </w:pPr>
            <w:r w:rsidRPr="00285187">
              <w:rPr>
                <w:rFonts w:ascii="Calibri" w:hAnsi="Calibri"/>
                <w:b/>
                <w:color w:val="000000"/>
                <w:sz w:val="22"/>
                <w:szCs w:val="22"/>
              </w:rPr>
              <w:t>Anti-Muslim repression has been ignored knowingly by French politicians</w:t>
            </w:r>
            <w:r>
              <w:rPr>
                <w:rFonts w:ascii="Calibri" w:hAnsi="Calibri"/>
                <w:color w:val="000000"/>
                <w:sz w:val="22"/>
                <w:szCs w:val="22"/>
              </w:rPr>
              <w:t xml:space="preserve"> because of the highly </w:t>
            </w:r>
            <w:proofErr w:type="spellStart"/>
            <w:r>
              <w:rPr>
                <w:rFonts w:ascii="Calibri" w:hAnsi="Calibri"/>
                <w:color w:val="000000"/>
                <w:sz w:val="22"/>
                <w:szCs w:val="22"/>
              </w:rPr>
              <w:t>islamophobic</w:t>
            </w:r>
            <w:proofErr w:type="spellEnd"/>
            <w:r>
              <w:rPr>
                <w:rFonts w:ascii="Calibri" w:hAnsi="Calibri"/>
                <w:color w:val="000000"/>
                <w:sz w:val="22"/>
                <w:szCs w:val="22"/>
              </w:rPr>
              <w:t xml:space="preserve"> community that they represent. </w:t>
            </w:r>
          </w:p>
          <w:p w:rsidR="000F7A18" w:rsidRDefault="000F7A18" w:rsidP="006F0ABE">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 alienation of Muslims fuels the extremism unit</w:t>
            </w:r>
            <w:r w:rsidRPr="00226BF4">
              <w:rPr>
                <w:rFonts w:ascii="Calibri" w:hAnsi="Calibri"/>
                <w:color w:val="000000"/>
                <w:sz w:val="22"/>
                <w:szCs w:val="22"/>
              </w:rPr>
              <w:t xml:space="preserve"> and protests in the Muslim community.</w:t>
            </w:r>
          </w:p>
          <w:p w:rsidR="000F7A18" w:rsidRPr="00226BF4" w:rsidRDefault="000F7A18" w:rsidP="006F0ABE">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Meanwhile, growing wage inequality in France has </w:t>
            </w:r>
            <w:r w:rsidRPr="003D3D37">
              <w:rPr>
                <w:rFonts w:ascii="Calibri" w:hAnsi="Calibri"/>
                <w:b/>
                <w:color w:val="000000"/>
                <w:sz w:val="22"/>
                <w:szCs w:val="22"/>
              </w:rPr>
              <w:t>been receiving less media and social media attention</w:t>
            </w:r>
            <w:r>
              <w:rPr>
                <w:rFonts w:ascii="Calibri" w:hAnsi="Calibri"/>
                <w:color w:val="000000"/>
                <w:sz w:val="22"/>
                <w:szCs w:val="22"/>
              </w:rPr>
              <w:t>, as well as less Trade Union opposition.</w:t>
            </w:r>
          </w:p>
          <w:p w:rsidR="000F7A18" w:rsidRPr="00CF76E9" w:rsidRDefault="000F7A18" w:rsidP="006F0ABE">
            <w:pPr>
              <w:jc w:val="center"/>
            </w:pPr>
          </w:p>
        </w:tc>
        <w:tc>
          <w:tcPr>
            <w:tcW w:w="3747" w:type="dxa"/>
            <w:shd w:val="clear" w:color="auto" w:fill="FFFFFF" w:themeFill="background1"/>
          </w:tcPr>
          <w:p w:rsidR="000F7A18" w:rsidRDefault="000F7A18" w:rsidP="006F0ABE">
            <w:pPr>
              <w:jc w:val="center"/>
              <w:rPr>
                <w:i/>
                <w:color w:val="FF0000"/>
              </w:rPr>
            </w:pPr>
            <w:r w:rsidRPr="005A27BB">
              <w:rPr>
                <w:i/>
                <w:color w:val="FF0000"/>
              </w:rPr>
              <w:lastRenderedPageBreak/>
              <w:t>EXAMPLE</w:t>
            </w:r>
          </w:p>
          <w:p w:rsidR="000F7A18" w:rsidRPr="001225A8" w:rsidRDefault="000F7A18" w:rsidP="006F0ABE">
            <w:pPr>
              <w:rPr>
                <w:i/>
              </w:rPr>
            </w:pPr>
            <w:r w:rsidRPr="00BB487E">
              <w:rPr>
                <w:b/>
              </w:rPr>
              <w:t>1. Therefore</w:t>
            </w:r>
            <w:r>
              <w:t xml:space="preserve">… clear evidence that that Islamophobia is growing within France and can be attributed to terror attacks. The driving force is the ‘Establishment’ of France, from transport officials and politicians to cultural elites who use security concerns as a cover for the targeting of Islam – their real goal is to control their own working class by creating a shared enemy. </w:t>
            </w:r>
            <w:r w:rsidRPr="001225A8">
              <w:rPr>
                <w:b/>
                <w:i/>
              </w:rPr>
              <w:t>Counter</w:t>
            </w:r>
            <w:r w:rsidRPr="001225A8">
              <w:rPr>
                <w:b/>
              </w:rPr>
              <w:t xml:space="preserve">-claim: </w:t>
            </w:r>
            <w:r w:rsidRPr="001225A8">
              <w:rPr>
                <w:b/>
                <w:i/>
              </w:rPr>
              <w:t>However, this is a socialist magazine and therefore will see social class conflicts as the root of most issues.</w:t>
            </w:r>
            <w:r w:rsidRPr="001225A8">
              <w:rPr>
                <w:i/>
              </w:rPr>
              <w:t xml:space="preserve"> </w:t>
            </w:r>
          </w:p>
          <w:p w:rsidR="000F7A18" w:rsidRDefault="000F7A18" w:rsidP="006F0ABE"/>
          <w:p w:rsidR="000F7A18" w:rsidRPr="00285187" w:rsidRDefault="000F7A18" w:rsidP="006F0ABE">
            <w:r w:rsidRPr="001225A8">
              <w:rPr>
                <w:b/>
              </w:rPr>
              <w:t xml:space="preserve">2. </w:t>
            </w:r>
            <w:r>
              <w:rPr>
                <w:b/>
              </w:rPr>
              <w:t>Connections…</w:t>
            </w:r>
            <w:r>
              <w:t xml:space="preserve"> The factual information </w:t>
            </w:r>
            <w:r w:rsidRPr="00226BF4">
              <w:rPr>
                <w:b/>
              </w:rPr>
              <w:t>is supported by other sources, but</w:t>
            </w:r>
            <w:r>
              <w:t xml:space="preserve"> nowhere else suggests that the Islamophobia is being deliberately cultivated by politicians in order to control the working class, although Henderson agrees that it helps them get elected.</w:t>
            </w:r>
          </w:p>
        </w:tc>
      </w:tr>
      <w:tr w:rsidR="000F7A18" w:rsidTr="002069DF">
        <w:tc>
          <w:tcPr>
            <w:tcW w:w="1696" w:type="dxa"/>
          </w:tcPr>
          <w:p w:rsidR="000F7A18" w:rsidRDefault="000F7A18" w:rsidP="006F0ABE">
            <w:pPr>
              <w:rPr>
                <w:b/>
                <w:u w:val="single"/>
              </w:rPr>
            </w:pPr>
          </w:p>
        </w:tc>
        <w:tc>
          <w:tcPr>
            <w:tcW w:w="8505" w:type="dxa"/>
          </w:tcPr>
          <w:p w:rsidR="000F7A18" w:rsidRDefault="000F7A18" w:rsidP="006F0ABE">
            <w:pPr>
              <w:rPr>
                <w:b/>
                <w:u w:val="single"/>
              </w:rPr>
            </w:pPr>
          </w:p>
        </w:tc>
        <w:tc>
          <w:tcPr>
            <w:tcW w:w="3747" w:type="dxa"/>
          </w:tcPr>
          <w:p w:rsidR="000F7A18" w:rsidRDefault="000F7A18" w:rsidP="006F0ABE">
            <w:pPr>
              <w:rPr>
                <w:b/>
                <w:u w:val="single"/>
              </w:rPr>
            </w:pPr>
          </w:p>
        </w:tc>
      </w:tr>
      <w:tr w:rsidR="000F7A18" w:rsidTr="002069DF">
        <w:tc>
          <w:tcPr>
            <w:tcW w:w="1696" w:type="dxa"/>
          </w:tcPr>
          <w:p w:rsidR="000F7A18" w:rsidRDefault="000F7A18" w:rsidP="006F0ABE">
            <w:pPr>
              <w:rPr>
                <w:b/>
                <w:u w:val="single"/>
              </w:rPr>
            </w:pPr>
          </w:p>
        </w:tc>
        <w:tc>
          <w:tcPr>
            <w:tcW w:w="8505" w:type="dxa"/>
          </w:tcPr>
          <w:p w:rsidR="000F7A18" w:rsidRDefault="000F7A18" w:rsidP="006F0ABE">
            <w:pPr>
              <w:rPr>
                <w:b/>
                <w:u w:val="single"/>
              </w:rPr>
            </w:pPr>
          </w:p>
        </w:tc>
        <w:tc>
          <w:tcPr>
            <w:tcW w:w="3747" w:type="dxa"/>
          </w:tcPr>
          <w:p w:rsidR="000F7A18" w:rsidRDefault="000F7A18" w:rsidP="006F0ABE">
            <w:pPr>
              <w:rPr>
                <w:b/>
                <w:u w:val="single"/>
              </w:rPr>
            </w:pPr>
          </w:p>
        </w:tc>
      </w:tr>
      <w:tr w:rsidR="000F7A18" w:rsidTr="002069DF">
        <w:tc>
          <w:tcPr>
            <w:tcW w:w="1696" w:type="dxa"/>
          </w:tcPr>
          <w:p w:rsidR="000F7A18" w:rsidRDefault="000F7A18" w:rsidP="006F0ABE">
            <w:pPr>
              <w:rPr>
                <w:b/>
                <w:u w:val="single"/>
              </w:rPr>
            </w:pPr>
          </w:p>
        </w:tc>
        <w:tc>
          <w:tcPr>
            <w:tcW w:w="8505" w:type="dxa"/>
          </w:tcPr>
          <w:p w:rsidR="000F7A18" w:rsidRDefault="000F7A18" w:rsidP="006F0ABE">
            <w:pPr>
              <w:rPr>
                <w:b/>
                <w:u w:val="single"/>
              </w:rPr>
            </w:pPr>
          </w:p>
        </w:tc>
        <w:tc>
          <w:tcPr>
            <w:tcW w:w="3747" w:type="dxa"/>
          </w:tcPr>
          <w:p w:rsidR="000F7A18" w:rsidRDefault="000F7A18" w:rsidP="006F0ABE">
            <w:pPr>
              <w:rPr>
                <w:b/>
                <w:u w:val="single"/>
              </w:rPr>
            </w:pPr>
          </w:p>
        </w:tc>
      </w:tr>
      <w:tr w:rsidR="000F7A18" w:rsidTr="002069DF">
        <w:tc>
          <w:tcPr>
            <w:tcW w:w="1696" w:type="dxa"/>
          </w:tcPr>
          <w:p w:rsidR="000F7A18" w:rsidRDefault="000F7A18" w:rsidP="006F0ABE">
            <w:pPr>
              <w:rPr>
                <w:b/>
                <w:u w:val="single"/>
              </w:rPr>
            </w:pPr>
          </w:p>
        </w:tc>
        <w:tc>
          <w:tcPr>
            <w:tcW w:w="8505" w:type="dxa"/>
          </w:tcPr>
          <w:p w:rsidR="000F7A18" w:rsidRDefault="000F7A18" w:rsidP="006F0ABE">
            <w:pPr>
              <w:rPr>
                <w:b/>
                <w:u w:val="single"/>
              </w:rPr>
            </w:pPr>
          </w:p>
        </w:tc>
        <w:tc>
          <w:tcPr>
            <w:tcW w:w="3747" w:type="dxa"/>
          </w:tcPr>
          <w:p w:rsidR="000F7A18" w:rsidRDefault="000F7A18" w:rsidP="006F0ABE">
            <w:pPr>
              <w:rPr>
                <w:b/>
                <w:u w:val="single"/>
              </w:rPr>
            </w:pPr>
          </w:p>
        </w:tc>
      </w:tr>
      <w:tr w:rsidR="000F7A18" w:rsidTr="002069DF">
        <w:tc>
          <w:tcPr>
            <w:tcW w:w="1696" w:type="dxa"/>
          </w:tcPr>
          <w:p w:rsidR="000F7A18" w:rsidRDefault="000F7A18" w:rsidP="006F0ABE">
            <w:pPr>
              <w:rPr>
                <w:b/>
                <w:u w:val="single"/>
              </w:rPr>
            </w:pPr>
          </w:p>
        </w:tc>
        <w:tc>
          <w:tcPr>
            <w:tcW w:w="8505" w:type="dxa"/>
          </w:tcPr>
          <w:p w:rsidR="000F7A18" w:rsidRDefault="000F7A18" w:rsidP="006F0ABE">
            <w:pPr>
              <w:rPr>
                <w:b/>
                <w:u w:val="single"/>
              </w:rPr>
            </w:pPr>
          </w:p>
        </w:tc>
        <w:tc>
          <w:tcPr>
            <w:tcW w:w="3747" w:type="dxa"/>
          </w:tcPr>
          <w:p w:rsidR="000F7A18" w:rsidRDefault="000F7A18" w:rsidP="006F0ABE">
            <w:pPr>
              <w:rPr>
                <w:b/>
                <w:u w:val="single"/>
              </w:rPr>
            </w:pPr>
          </w:p>
        </w:tc>
      </w:tr>
    </w:tbl>
    <w:p w:rsidR="000F7A18" w:rsidRDefault="000F7A18" w:rsidP="000F7A18"/>
    <w:p w:rsidR="000F7A18" w:rsidRDefault="000F7A18" w:rsidP="000F7A18">
      <w:pPr>
        <w:rPr>
          <w:b/>
          <w:u w:val="single"/>
        </w:rPr>
      </w:pPr>
      <w:r w:rsidRPr="00254BCA">
        <w:rPr>
          <w:b/>
          <w:u w:val="single"/>
        </w:rPr>
        <w:t>Primary Sources</w:t>
      </w:r>
    </w:p>
    <w:tbl>
      <w:tblPr>
        <w:tblStyle w:val="TableGrid"/>
        <w:tblW w:w="0" w:type="auto"/>
        <w:tblLook w:val="04A0" w:firstRow="1" w:lastRow="0" w:firstColumn="1" w:lastColumn="0" w:noHBand="0" w:noVBand="1"/>
      </w:tblPr>
      <w:tblGrid>
        <w:gridCol w:w="1555"/>
        <w:gridCol w:w="1701"/>
        <w:gridCol w:w="1701"/>
        <w:gridCol w:w="2126"/>
        <w:gridCol w:w="1843"/>
        <w:gridCol w:w="1842"/>
        <w:gridCol w:w="3180"/>
      </w:tblGrid>
      <w:tr w:rsidR="000F7A18" w:rsidTr="006F0ABE">
        <w:tc>
          <w:tcPr>
            <w:tcW w:w="1555" w:type="dxa"/>
            <w:shd w:val="clear" w:color="auto" w:fill="D9E2F3" w:themeFill="accent5" w:themeFillTint="33"/>
          </w:tcPr>
          <w:p w:rsidR="000F7A18" w:rsidRDefault="000F7A18" w:rsidP="006F0ABE">
            <w:pPr>
              <w:jc w:val="center"/>
              <w:rPr>
                <w:b/>
              </w:rPr>
            </w:pPr>
            <w:r w:rsidRPr="00254BCA">
              <w:rPr>
                <w:b/>
              </w:rPr>
              <w:t>Source</w:t>
            </w:r>
          </w:p>
          <w:p w:rsidR="000F7A18" w:rsidRPr="0089284E" w:rsidRDefault="000F7A18" w:rsidP="006F0ABE">
            <w:pPr>
              <w:jc w:val="center"/>
              <w:rPr>
                <w:sz w:val="18"/>
                <w:szCs w:val="18"/>
              </w:rPr>
            </w:pPr>
            <w:r>
              <w:rPr>
                <w:sz w:val="18"/>
                <w:szCs w:val="18"/>
              </w:rPr>
              <w:t>(</w:t>
            </w:r>
            <w:r w:rsidRPr="0089284E">
              <w:rPr>
                <w:sz w:val="18"/>
                <w:szCs w:val="18"/>
              </w:rPr>
              <w:t>Citation</w:t>
            </w:r>
            <w:r>
              <w:rPr>
                <w:sz w:val="18"/>
                <w:szCs w:val="18"/>
              </w:rPr>
              <w:t>)</w:t>
            </w:r>
          </w:p>
        </w:tc>
        <w:tc>
          <w:tcPr>
            <w:tcW w:w="1701" w:type="dxa"/>
            <w:shd w:val="clear" w:color="auto" w:fill="E2EFD9" w:themeFill="accent6" w:themeFillTint="33"/>
          </w:tcPr>
          <w:p w:rsidR="000F7A18" w:rsidRPr="0089284E" w:rsidRDefault="000F7A18" w:rsidP="006F0ABE">
            <w:pPr>
              <w:jc w:val="center"/>
              <w:rPr>
                <w:b/>
              </w:rPr>
            </w:pPr>
            <w:r w:rsidRPr="0089284E">
              <w:rPr>
                <w:b/>
              </w:rPr>
              <w:t>Nature</w:t>
            </w:r>
          </w:p>
        </w:tc>
        <w:tc>
          <w:tcPr>
            <w:tcW w:w="1701" w:type="dxa"/>
            <w:shd w:val="clear" w:color="auto" w:fill="E2EFD9" w:themeFill="accent6" w:themeFillTint="33"/>
          </w:tcPr>
          <w:p w:rsidR="000F7A18" w:rsidRPr="0089284E" w:rsidRDefault="000F7A18" w:rsidP="006F0ABE">
            <w:pPr>
              <w:jc w:val="center"/>
              <w:rPr>
                <w:b/>
              </w:rPr>
            </w:pPr>
            <w:r>
              <w:rPr>
                <w:b/>
              </w:rPr>
              <w:t>Origin</w:t>
            </w:r>
          </w:p>
        </w:tc>
        <w:tc>
          <w:tcPr>
            <w:tcW w:w="2126" w:type="dxa"/>
            <w:shd w:val="clear" w:color="auto" w:fill="E2EFD9" w:themeFill="accent6" w:themeFillTint="33"/>
          </w:tcPr>
          <w:p w:rsidR="000F7A18" w:rsidRPr="0089284E" w:rsidRDefault="000F7A18" w:rsidP="006F0ABE">
            <w:pPr>
              <w:jc w:val="center"/>
              <w:rPr>
                <w:b/>
              </w:rPr>
            </w:pPr>
            <w:r w:rsidRPr="0089284E">
              <w:rPr>
                <w:b/>
              </w:rPr>
              <w:t>Purpose</w:t>
            </w:r>
          </w:p>
        </w:tc>
        <w:tc>
          <w:tcPr>
            <w:tcW w:w="1843" w:type="dxa"/>
            <w:shd w:val="clear" w:color="auto" w:fill="FFF2CC" w:themeFill="accent4" w:themeFillTint="33"/>
          </w:tcPr>
          <w:p w:rsidR="000F7A18" w:rsidRPr="0089284E" w:rsidRDefault="000F7A18" w:rsidP="006F0ABE">
            <w:pPr>
              <w:jc w:val="center"/>
              <w:rPr>
                <w:b/>
              </w:rPr>
            </w:pPr>
            <w:r w:rsidRPr="0089284E">
              <w:rPr>
                <w:b/>
              </w:rPr>
              <w:t>Value</w:t>
            </w:r>
          </w:p>
        </w:tc>
        <w:tc>
          <w:tcPr>
            <w:tcW w:w="1842" w:type="dxa"/>
            <w:shd w:val="clear" w:color="auto" w:fill="FFF2CC" w:themeFill="accent4" w:themeFillTint="33"/>
          </w:tcPr>
          <w:p w:rsidR="000F7A18" w:rsidRPr="0089284E" w:rsidRDefault="000F7A18" w:rsidP="006F0ABE">
            <w:pPr>
              <w:jc w:val="center"/>
              <w:rPr>
                <w:b/>
              </w:rPr>
            </w:pPr>
            <w:r w:rsidRPr="0089284E">
              <w:rPr>
                <w:b/>
              </w:rPr>
              <w:t>Limitation</w:t>
            </w:r>
          </w:p>
        </w:tc>
        <w:tc>
          <w:tcPr>
            <w:tcW w:w="3180" w:type="dxa"/>
            <w:shd w:val="clear" w:color="auto" w:fill="D9E2F3" w:themeFill="accent5" w:themeFillTint="33"/>
          </w:tcPr>
          <w:p w:rsidR="000F7A18" w:rsidRDefault="000F7A18" w:rsidP="006F0ABE">
            <w:pPr>
              <w:jc w:val="center"/>
              <w:rPr>
                <w:b/>
              </w:rPr>
            </w:pPr>
            <w:r w:rsidRPr="0089284E">
              <w:rPr>
                <w:b/>
              </w:rPr>
              <w:t>Significance for investigation</w:t>
            </w:r>
          </w:p>
          <w:p w:rsidR="000F7A18" w:rsidRDefault="000F7A18" w:rsidP="006F0ABE">
            <w:pPr>
              <w:rPr>
                <w:sz w:val="18"/>
                <w:szCs w:val="18"/>
              </w:rPr>
            </w:pPr>
            <w:r w:rsidRPr="008B00A7">
              <w:rPr>
                <w:b/>
                <w:sz w:val="18"/>
                <w:szCs w:val="18"/>
              </w:rPr>
              <w:t>1. Therefore</w:t>
            </w:r>
            <w:r>
              <w:rPr>
                <w:sz w:val="18"/>
                <w:szCs w:val="18"/>
              </w:rPr>
              <w:t>… (how does it help answer your question)</w:t>
            </w:r>
          </w:p>
          <w:p w:rsidR="000F7A18" w:rsidRPr="0089284E" w:rsidRDefault="000F7A18" w:rsidP="006F0ABE">
            <w:pPr>
              <w:rPr>
                <w:b/>
              </w:rPr>
            </w:pPr>
            <w:r w:rsidRPr="008B00A7">
              <w:rPr>
                <w:b/>
                <w:sz w:val="18"/>
                <w:szCs w:val="18"/>
              </w:rPr>
              <w:t>2. Connections</w:t>
            </w:r>
            <w:r>
              <w:rPr>
                <w:sz w:val="18"/>
                <w:szCs w:val="18"/>
              </w:rPr>
              <w:t xml:space="preserve"> (does it support / contradict other primary / secondary sources?)</w:t>
            </w:r>
          </w:p>
        </w:tc>
      </w:tr>
      <w:tr w:rsidR="000F7A18" w:rsidTr="006F0ABE">
        <w:tc>
          <w:tcPr>
            <w:tcW w:w="1555" w:type="dxa"/>
          </w:tcPr>
          <w:p w:rsidR="000F7A18" w:rsidRPr="0089284E" w:rsidRDefault="000F7A18" w:rsidP="006F0ABE">
            <w:pPr>
              <w:rPr>
                <w:b/>
                <w:sz w:val="18"/>
                <w:szCs w:val="18"/>
                <w:u w:val="single"/>
              </w:rPr>
            </w:pPr>
          </w:p>
        </w:tc>
        <w:tc>
          <w:tcPr>
            <w:tcW w:w="1701" w:type="dxa"/>
          </w:tcPr>
          <w:p w:rsidR="000F7A18" w:rsidRPr="0089284E" w:rsidRDefault="000F7A18" w:rsidP="006F0ABE">
            <w:pPr>
              <w:rPr>
                <w:b/>
                <w:sz w:val="18"/>
                <w:szCs w:val="18"/>
                <w:u w:val="single"/>
              </w:rPr>
            </w:pPr>
          </w:p>
        </w:tc>
        <w:tc>
          <w:tcPr>
            <w:tcW w:w="1701" w:type="dxa"/>
          </w:tcPr>
          <w:p w:rsidR="000F7A18" w:rsidRPr="0089284E" w:rsidRDefault="000F7A18" w:rsidP="006F0ABE">
            <w:pPr>
              <w:rPr>
                <w:b/>
                <w:sz w:val="18"/>
                <w:szCs w:val="18"/>
                <w:u w:val="single"/>
              </w:rPr>
            </w:pPr>
          </w:p>
        </w:tc>
        <w:tc>
          <w:tcPr>
            <w:tcW w:w="2126" w:type="dxa"/>
          </w:tcPr>
          <w:p w:rsidR="000F7A18" w:rsidRPr="0089284E" w:rsidRDefault="000F7A18" w:rsidP="006F0ABE">
            <w:pPr>
              <w:rPr>
                <w:b/>
                <w:sz w:val="18"/>
                <w:szCs w:val="18"/>
                <w:u w:val="single"/>
              </w:rPr>
            </w:pPr>
          </w:p>
        </w:tc>
        <w:tc>
          <w:tcPr>
            <w:tcW w:w="1843" w:type="dxa"/>
          </w:tcPr>
          <w:p w:rsidR="000F7A18" w:rsidRPr="0089284E" w:rsidRDefault="000F7A18" w:rsidP="006F0ABE">
            <w:pPr>
              <w:rPr>
                <w:b/>
                <w:sz w:val="18"/>
                <w:szCs w:val="18"/>
                <w:u w:val="single"/>
              </w:rPr>
            </w:pPr>
          </w:p>
        </w:tc>
        <w:tc>
          <w:tcPr>
            <w:tcW w:w="1842" w:type="dxa"/>
          </w:tcPr>
          <w:p w:rsidR="000F7A18" w:rsidRPr="0089284E" w:rsidRDefault="000F7A18" w:rsidP="006F0ABE">
            <w:pPr>
              <w:rPr>
                <w:b/>
                <w:sz w:val="18"/>
                <w:szCs w:val="18"/>
                <w:u w:val="single"/>
              </w:rPr>
            </w:pPr>
          </w:p>
        </w:tc>
        <w:tc>
          <w:tcPr>
            <w:tcW w:w="3180" w:type="dxa"/>
          </w:tcPr>
          <w:p w:rsidR="000F7A18" w:rsidRPr="0089284E" w:rsidRDefault="000F7A18" w:rsidP="006F0ABE">
            <w:pPr>
              <w:rPr>
                <w:b/>
                <w:sz w:val="18"/>
                <w:szCs w:val="18"/>
                <w:u w:val="single"/>
              </w:rPr>
            </w:pPr>
          </w:p>
        </w:tc>
      </w:tr>
      <w:tr w:rsidR="000F7A18" w:rsidTr="006F0ABE">
        <w:tc>
          <w:tcPr>
            <w:tcW w:w="1555" w:type="dxa"/>
          </w:tcPr>
          <w:p w:rsidR="000F7A18" w:rsidRPr="0089284E" w:rsidRDefault="000F7A18" w:rsidP="006F0ABE">
            <w:pPr>
              <w:rPr>
                <w:b/>
                <w:sz w:val="18"/>
                <w:szCs w:val="18"/>
                <w:u w:val="single"/>
              </w:rPr>
            </w:pPr>
          </w:p>
        </w:tc>
        <w:tc>
          <w:tcPr>
            <w:tcW w:w="1701" w:type="dxa"/>
          </w:tcPr>
          <w:p w:rsidR="000F7A18" w:rsidRPr="0089284E" w:rsidRDefault="000F7A18" w:rsidP="006F0ABE">
            <w:pPr>
              <w:rPr>
                <w:b/>
                <w:sz w:val="18"/>
                <w:szCs w:val="18"/>
                <w:u w:val="single"/>
              </w:rPr>
            </w:pPr>
          </w:p>
        </w:tc>
        <w:tc>
          <w:tcPr>
            <w:tcW w:w="1701" w:type="dxa"/>
          </w:tcPr>
          <w:p w:rsidR="000F7A18" w:rsidRPr="0089284E" w:rsidRDefault="000F7A18" w:rsidP="006F0ABE">
            <w:pPr>
              <w:rPr>
                <w:b/>
                <w:sz w:val="18"/>
                <w:szCs w:val="18"/>
                <w:u w:val="single"/>
              </w:rPr>
            </w:pPr>
          </w:p>
        </w:tc>
        <w:tc>
          <w:tcPr>
            <w:tcW w:w="2126" w:type="dxa"/>
          </w:tcPr>
          <w:p w:rsidR="000F7A18" w:rsidRPr="0089284E" w:rsidRDefault="000F7A18" w:rsidP="006F0ABE">
            <w:pPr>
              <w:rPr>
                <w:b/>
                <w:sz w:val="18"/>
                <w:szCs w:val="18"/>
                <w:u w:val="single"/>
              </w:rPr>
            </w:pPr>
          </w:p>
        </w:tc>
        <w:tc>
          <w:tcPr>
            <w:tcW w:w="1843" w:type="dxa"/>
          </w:tcPr>
          <w:p w:rsidR="000F7A18" w:rsidRPr="0089284E" w:rsidRDefault="000F7A18" w:rsidP="006F0ABE">
            <w:pPr>
              <w:rPr>
                <w:b/>
                <w:sz w:val="18"/>
                <w:szCs w:val="18"/>
                <w:u w:val="single"/>
              </w:rPr>
            </w:pPr>
          </w:p>
        </w:tc>
        <w:tc>
          <w:tcPr>
            <w:tcW w:w="1842" w:type="dxa"/>
          </w:tcPr>
          <w:p w:rsidR="000F7A18" w:rsidRPr="0089284E" w:rsidRDefault="000F7A18" w:rsidP="006F0ABE">
            <w:pPr>
              <w:rPr>
                <w:b/>
                <w:sz w:val="18"/>
                <w:szCs w:val="18"/>
                <w:u w:val="single"/>
              </w:rPr>
            </w:pPr>
          </w:p>
        </w:tc>
        <w:tc>
          <w:tcPr>
            <w:tcW w:w="3180" w:type="dxa"/>
          </w:tcPr>
          <w:p w:rsidR="000F7A18" w:rsidRPr="0089284E" w:rsidRDefault="000F7A18" w:rsidP="006F0ABE">
            <w:pPr>
              <w:rPr>
                <w:b/>
                <w:sz w:val="18"/>
                <w:szCs w:val="18"/>
                <w:u w:val="single"/>
              </w:rPr>
            </w:pPr>
          </w:p>
        </w:tc>
      </w:tr>
      <w:tr w:rsidR="000F7A18" w:rsidTr="006F0ABE">
        <w:tc>
          <w:tcPr>
            <w:tcW w:w="1555" w:type="dxa"/>
          </w:tcPr>
          <w:p w:rsidR="000F7A18" w:rsidRPr="0089284E" w:rsidRDefault="000F7A18" w:rsidP="006F0ABE">
            <w:pPr>
              <w:rPr>
                <w:b/>
                <w:sz w:val="18"/>
                <w:szCs w:val="18"/>
                <w:u w:val="single"/>
              </w:rPr>
            </w:pPr>
          </w:p>
        </w:tc>
        <w:tc>
          <w:tcPr>
            <w:tcW w:w="1701" w:type="dxa"/>
          </w:tcPr>
          <w:p w:rsidR="000F7A18" w:rsidRPr="0089284E" w:rsidRDefault="000F7A18" w:rsidP="006F0ABE">
            <w:pPr>
              <w:rPr>
                <w:b/>
                <w:sz w:val="18"/>
                <w:szCs w:val="18"/>
                <w:u w:val="single"/>
              </w:rPr>
            </w:pPr>
          </w:p>
        </w:tc>
        <w:tc>
          <w:tcPr>
            <w:tcW w:w="1701" w:type="dxa"/>
          </w:tcPr>
          <w:p w:rsidR="000F7A18" w:rsidRPr="0089284E" w:rsidRDefault="000F7A18" w:rsidP="006F0ABE">
            <w:pPr>
              <w:rPr>
                <w:b/>
                <w:sz w:val="18"/>
                <w:szCs w:val="18"/>
                <w:u w:val="single"/>
              </w:rPr>
            </w:pPr>
          </w:p>
        </w:tc>
        <w:tc>
          <w:tcPr>
            <w:tcW w:w="2126" w:type="dxa"/>
          </w:tcPr>
          <w:p w:rsidR="000F7A18" w:rsidRPr="0089284E" w:rsidRDefault="000F7A18" w:rsidP="006F0ABE">
            <w:pPr>
              <w:rPr>
                <w:b/>
                <w:sz w:val="18"/>
                <w:szCs w:val="18"/>
                <w:u w:val="single"/>
              </w:rPr>
            </w:pPr>
          </w:p>
        </w:tc>
        <w:tc>
          <w:tcPr>
            <w:tcW w:w="1843" w:type="dxa"/>
          </w:tcPr>
          <w:p w:rsidR="000F7A18" w:rsidRPr="0089284E" w:rsidRDefault="000F7A18" w:rsidP="006F0ABE">
            <w:pPr>
              <w:rPr>
                <w:b/>
                <w:sz w:val="18"/>
                <w:szCs w:val="18"/>
                <w:u w:val="single"/>
              </w:rPr>
            </w:pPr>
          </w:p>
        </w:tc>
        <w:tc>
          <w:tcPr>
            <w:tcW w:w="1842" w:type="dxa"/>
          </w:tcPr>
          <w:p w:rsidR="000F7A18" w:rsidRPr="0089284E" w:rsidRDefault="000F7A18" w:rsidP="006F0ABE">
            <w:pPr>
              <w:rPr>
                <w:b/>
                <w:sz w:val="18"/>
                <w:szCs w:val="18"/>
                <w:u w:val="single"/>
              </w:rPr>
            </w:pPr>
          </w:p>
        </w:tc>
        <w:tc>
          <w:tcPr>
            <w:tcW w:w="3180" w:type="dxa"/>
          </w:tcPr>
          <w:p w:rsidR="000F7A18" w:rsidRPr="0089284E" w:rsidRDefault="000F7A18" w:rsidP="006F0ABE">
            <w:pPr>
              <w:rPr>
                <w:b/>
                <w:sz w:val="18"/>
                <w:szCs w:val="18"/>
                <w:u w:val="single"/>
              </w:rPr>
            </w:pPr>
          </w:p>
        </w:tc>
      </w:tr>
      <w:tr w:rsidR="000F7A18" w:rsidTr="006F0ABE">
        <w:tc>
          <w:tcPr>
            <w:tcW w:w="1555" w:type="dxa"/>
          </w:tcPr>
          <w:p w:rsidR="000F7A18" w:rsidRPr="0089284E" w:rsidRDefault="000F7A18" w:rsidP="006F0ABE">
            <w:pPr>
              <w:rPr>
                <w:b/>
                <w:sz w:val="18"/>
                <w:szCs w:val="18"/>
                <w:u w:val="single"/>
              </w:rPr>
            </w:pPr>
          </w:p>
        </w:tc>
        <w:tc>
          <w:tcPr>
            <w:tcW w:w="1701" w:type="dxa"/>
          </w:tcPr>
          <w:p w:rsidR="000F7A18" w:rsidRPr="0089284E" w:rsidRDefault="000F7A18" w:rsidP="006F0ABE">
            <w:pPr>
              <w:rPr>
                <w:b/>
                <w:sz w:val="18"/>
                <w:szCs w:val="18"/>
                <w:u w:val="single"/>
              </w:rPr>
            </w:pPr>
          </w:p>
        </w:tc>
        <w:tc>
          <w:tcPr>
            <w:tcW w:w="1701" w:type="dxa"/>
          </w:tcPr>
          <w:p w:rsidR="000F7A18" w:rsidRPr="0089284E" w:rsidRDefault="000F7A18" w:rsidP="006F0ABE">
            <w:pPr>
              <w:rPr>
                <w:b/>
                <w:sz w:val="18"/>
                <w:szCs w:val="18"/>
                <w:u w:val="single"/>
              </w:rPr>
            </w:pPr>
          </w:p>
        </w:tc>
        <w:tc>
          <w:tcPr>
            <w:tcW w:w="2126" w:type="dxa"/>
          </w:tcPr>
          <w:p w:rsidR="000F7A18" w:rsidRPr="0089284E" w:rsidRDefault="000F7A18" w:rsidP="006F0ABE">
            <w:pPr>
              <w:rPr>
                <w:b/>
                <w:sz w:val="18"/>
                <w:szCs w:val="18"/>
                <w:u w:val="single"/>
              </w:rPr>
            </w:pPr>
          </w:p>
        </w:tc>
        <w:tc>
          <w:tcPr>
            <w:tcW w:w="1843" w:type="dxa"/>
          </w:tcPr>
          <w:p w:rsidR="000F7A18" w:rsidRPr="0089284E" w:rsidRDefault="000F7A18" w:rsidP="006F0ABE">
            <w:pPr>
              <w:rPr>
                <w:b/>
                <w:sz w:val="18"/>
                <w:szCs w:val="18"/>
                <w:u w:val="single"/>
              </w:rPr>
            </w:pPr>
          </w:p>
        </w:tc>
        <w:tc>
          <w:tcPr>
            <w:tcW w:w="1842" w:type="dxa"/>
          </w:tcPr>
          <w:p w:rsidR="000F7A18" w:rsidRPr="0089284E" w:rsidRDefault="000F7A18" w:rsidP="006F0ABE">
            <w:pPr>
              <w:rPr>
                <w:b/>
                <w:sz w:val="18"/>
                <w:szCs w:val="18"/>
                <w:u w:val="single"/>
              </w:rPr>
            </w:pPr>
          </w:p>
        </w:tc>
        <w:tc>
          <w:tcPr>
            <w:tcW w:w="3180" w:type="dxa"/>
          </w:tcPr>
          <w:p w:rsidR="000F7A18" w:rsidRPr="0089284E" w:rsidRDefault="000F7A18" w:rsidP="006F0ABE">
            <w:pPr>
              <w:rPr>
                <w:b/>
                <w:sz w:val="18"/>
                <w:szCs w:val="18"/>
                <w:u w:val="single"/>
              </w:rPr>
            </w:pPr>
          </w:p>
        </w:tc>
      </w:tr>
    </w:tbl>
    <w:p w:rsidR="000F7A18" w:rsidRPr="00254BCA" w:rsidRDefault="000F7A18" w:rsidP="000F7A18">
      <w:pPr>
        <w:rPr>
          <w:b/>
          <w:u w:val="single"/>
        </w:rPr>
      </w:pPr>
    </w:p>
    <w:p w:rsidR="000F7A18" w:rsidRDefault="000F7A18"/>
    <w:sectPr w:rsidR="000F7A18" w:rsidSect="000F7A1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F1" w:rsidRDefault="00BB21F1" w:rsidP="000F7A18">
      <w:pPr>
        <w:spacing w:after="0" w:line="240" w:lineRule="auto"/>
      </w:pPr>
      <w:r>
        <w:separator/>
      </w:r>
    </w:p>
  </w:endnote>
  <w:endnote w:type="continuationSeparator" w:id="0">
    <w:p w:rsidR="00BB21F1" w:rsidRDefault="00BB21F1" w:rsidP="000F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F1" w:rsidRDefault="00BB21F1" w:rsidP="000F7A18">
      <w:pPr>
        <w:spacing w:after="0" w:line="240" w:lineRule="auto"/>
      </w:pPr>
      <w:r>
        <w:separator/>
      </w:r>
    </w:p>
  </w:footnote>
  <w:footnote w:type="continuationSeparator" w:id="0">
    <w:p w:rsidR="00BB21F1" w:rsidRDefault="00BB21F1" w:rsidP="000F7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A18" w:rsidRDefault="000F7A18">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F7A18" w:rsidRDefault="000F7A18">
                              <w:pPr>
                                <w:pStyle w:val="Header"/>
                                <w:jc w:val="center"/>
                                <w:rPr>
                                  <w:caps/>
                                  <w:color w:val="FFFFFF" w:themeColor="background1"/>
                                </w:rPr>
                              </w:pPr>
                              <w:r>
                                <w:rPr>
                                  <w:caps/>
                                  <w:color w:val="FFFFFF" w:themeColor="background1"/>
                                </w:rPr>
                                <w:t>history extended essay research grid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F7A18" w:rsidRDefault="000F7A18">
                        <w:pPr>
                          <w:pStyle w:val="Header"/>
                          <w:jc w:val="center"/>
                          <w:rPr>
                            <w:caps/>
                            <w:color w:val="FFFFFF" w:themeColor="background1"/>
                          </w:rPr>
                        </w:pPr>
                        <w:r>
                          <w:rPr>
                            <w:caps/>
                            <w:color w:val="FFFFFF" w:themeColor="background1"/>
                          </w:rPr>
                          <w:t>history extended essay research grid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B7A95"/>
    <w:multiLevelType w:val="multilevel"/>
    <w:tmpl w:val="0116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18"/>
    <w:rsid w:val="000F7A18"/>
    <w:rsid w:val="002069DF"/>
    <w:rsid w:val="00344457"/>
    <w:rsid w:val="00401E64"/>
    <w:rsid w:val="008B00A7"/>
    <w:rsid w:val="0094600F"/>
    <w:rsid w:val="009E698A"/>
    <w:rsid w:val="00BB21F1"/>
    <w:rsid w:val="00F3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4B252"/>
  <w15:chartTrackingRefBased/>
  <w15:docId w15:val="{520E53A0-F7A2-4859-BA10-9FDA619D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7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A18"/>
  </w:style>
  <w:style w:type="paragraph" w:styleId="Footer">
    <w:name w:val="footer"/>
    <w:basedOn w:val="Normal"/>
    <w:link w:val="FooterChar"/>
    <w:uiPriority w:val="99"/>
    <w:unhideWhenUsed/>
    <w:rsid w:val="000F7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A18"/>
  </w:style>
  <w:style w:type="table" w:styleId="TableGrid">
    <w:name w:val="Table Grid"/>
    <w:basedOn w:val="TableNormal"/>
    <w:uiPriority w:val="39"/>
    <w:rsid w:val="000F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7A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history extended essay research grid</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extended essay research grid</dc:title>
  <dc:subject/>
  <dc:creator>James Tipney</dc:creator>
  <cp:keywords/>
  <dc:description/>
  <cp:lastModifiedBy>James Tipney</cp:lastModifiedBy>
  <cp:revision>3</cp:revision>
  <dcterms:created xsi:type="dcterms:W3CDTF">2017-02-15T12:08:00Z</dcterms:created>
  <dcterms:modified xsi:type="dcterms:W3CDTF">2017-02-15T12:09:00Z</dcterms:modified>
</cp:coreProperties>
</file>