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Pr="00995089" w:rsidRDefault="006020E6" w:rsidP="006020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95089">
        <w:rPr>
          <w:b/>
          <w:sz w:val="28"/>
          <w:szCs w:val="28"/>
          <w:u w:val="single"/>
        </w:rPr>
        <w:t>Key Words and People:</w:t>
      </w:r>
    </w:p>
    <w:p w:rsidR="006020E6" w:rsidRDefault="006020E6" w:rsidP="006020E6">
      <w:r>
        <w:t xml:space="preserve">As you complete the activities in this unit, keep a record of </w:t>
      </w:r>
      <w:r w:rsidR="005602F9">
        <w:t>new</w:t>
      </w:r>
      <w:r>
        <w:t xml:space="preserve"> key people and events.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47"/>
        <w:gridCol w:w="11482"/>
      </w:tblGrid>
      <w:tr w:rsidR="006020E6" w:rsidTr="006020E6">
        <w:tc>
          <w:tcPr>
            <w:tcW w:w="2547" w:type="dxa"/>
          </w:tcPr>
          <w:p w:rsidR="006020E6" w:rsidRPr="003515DE" w:rsidRDefault="006020E6" w:rsidP="003515DE">
            <w:pPr>
              <w:jc w:val="center"/>
              <w:rPr>
                <w:b/>
              </w:rPr>
            </w:pPr>
            <w:r w:rsidRPr="003515DE">
              <w:rPr>
                <w:b/>
              </w:rPr>
              <w:t xml:space="preserve">Key </w:t>
            </w:r>
            <w:r w:rsidR="003515DE" w:rsidRPr="003515DE">
              <w:rPr>
                <w:b/>
              </w:rPr>
              <w:t>People</w:t>
            </w:r>
          </w:p>
        </w:tc>
        <w:tc>
          <w:tcPr>
            <w:tcW w:w="11482" w:type="dxa"/>
          </w:tcPr>
          <w:p w:rsidR="006020E6" w:rsidRPr="003515DE" w:rsidRDefault="006020E6" w:rsidP="003515DE">
            <w:pPr>
              <w:jc w:val="center"/>
              <w:rPr>
                <w:b/>
              </w:rPr>
            </w:pPr>
            <w:r w:rsidRPr="003515DE">
              <w:rPr>
                <w:b/>
              </w:rPr>
              <w:t>S</w:t>
            </w:r>
            <w:r w:rsidR="003515DE">
              <w:rPr>
                <w:b/>
              </w:rPr>
              <w:t>ignificance</w:t>
            </w:r>
          </w:p>
        </w:tc>
      </w:tr>
      <w:tr w:rsidR="006020E6" w:rsidTr="006020E6">
        <w:tc>
          <w:tcPr>
            <w:tcW w:w="2547" w:type="dxa"/>
          </w:tcPr>
          <w:p w:rsidR="006020E6" w:rsidRDefault="006020E6" w:rsidP="006020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0E17AF" wp14:editId="154FE8E1">
                  <wp:extent cx="771525" cy="624935"/>
                  <wp:effectExtent l="0" t="0" r="0" b="3810"/>
                  <wp:docPr id="1" name="Picture 1" descr="http://www.imirasire.com/IMG/jpg/agathe-uwiringiyiman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irasire.com/IMG/jpg/agathe-uwiringiyiman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81" cy="6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0E6" w:rsidRDefault="006020E6" w:rsidP="006020E6">
            <w:pPr>
              <w:jc w:val="center"/>
            </w:pPr>
            <w:proofErr w:type="spellStart"/>
            <w:r>
              <w:t>Agathe</w:t>
            </w:r>
            <w:proofErr w:type="spellEnd"/>
            <w:r>
              <w:t xml:space="preserve"> </w:t>
            </w:r>
            <w:proofErr w:type="spellStart"/>
            <w:r>
              <w:t>Uwilingiyimana</w:t>
            </w:r>
            <w:proofErr w:type="spellEnd"/>
          </w:p>
        </w:tc>
        <w:tc>
          <w:tcPr>
            <w:tcW w:w="11482" w:type="dxa"/>
          </w:tcPr>
          <w:p w:rsidR="006020E6" w:rsidRPr="00617D94" w:rsidRDefault="00617D94" w:rsidP="006020E6">
            <w:pPr>
              <w:rPr>
                <w:i/>
                <w:sz w:val="16"/>
                <w:szCs w:val="16"/>
              </w:rPr>
            </w:pPr>
            <w:r w:rsidRPr="00617D94">
              <w:rPr>
                <w:i/>
                <w:sz w:val="16"/>
                <w:szCs w:val="16"/>
              </w:rPr>
              <w:t xml:space="preserve">Make a link: Kids were saved by </w:t>
            </w:r>
            <w:proofErr w:type="spellStart"/>
            <w:r w:rsidRPr="00617D94">
              <w:rPr>
                <w:i/>
                <w:sz w:val="16"/>
                <w:szCs w:val="16"/>
              </w:rPr>
              <w:t>Capt</w:t>
            </w:r>
            <w:proofErr w:type="spellEnd"/>
            <w:r w:rsidRPr="00617D9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7D94">
              <w:rPr>
                <w:i/>
                <w:sz w:val="16"/>
                <w:szCs w:val="16"/>
              </w:rPr>
              <w:t>Mbaya</w:t>
            </w:r>
            <w:proofErr w:type="spellEnd"/>
            <w:r w:rsidRPr="00617D9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17D94">
              <w:rPr>
                <w:i/>
                <w:sz w:val="16"/>
                <w:szCs w:val="16"/>
              </w:rPr>
              <w:t>Diagne</w:t>
            </w:r>
            <w:proofErr w:type="spellEnd"/>
            <w:r w:rsidRPr="00617D94">
              <w:rPr>
                <w:i/>
                <w:sz w:val="16"/>
                <w:szCs w:val="16"/>
              </w:rPr>
              <w:t xml:space="preserve"> who introduced our course</w:t>
            </w:r>
          </w:p>
        </w:tc>
      </w:tr>
      <w:tr w:rsidR="006020E6" w:rsidTr="006020E6">
        <w:tc>
          <w:tcPr>
            <w:tcW w:w="2547" w:type="dxa"/>
          </w:tcPr>
          <w:p w:rsidR="006020E6" w:rsidRDefault="006020E6" w:rsidP="006020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9A57D3" wp14:editId="74EB64F3">
                  <wp:extent cx="695325" cy="763113"/>
                  <wp:effectExtent l="0" t="0" r="0" b="0"/>
                  <wp:docPr id="2" name="Picture 2" descr="https://cdn-attachments.timesofmalta.com/39ba314dbd99ff0f001a3a23f66f77d2-551040617-1301706950-4d9678c6-620x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attachments.timesofmalta.com/39ba314dbd99ff0f001a3a23f66f77d2-551040617-1301706950-4d9678c6-620x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70" cy="77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0E6" w:rsidRDefault="006020E6" w:rsidP="006020E6">
            <w:pPr>
              <w:jc w:val="center"/>
            </w:pPr>
            <w:r>
              <w:t xml:space="preserve">Colonel </w:t>
            </w:r>
            <w:proofErr w:type="spellStart"/>
            <w:r>
              <w:t>Bagosora</w:t>
            </w:r>
            <w:proofErr w:type="spellEnd"/>
          </w:p>
        </w:tc>
        <w:tc>
          <w:tcPr>
            <w:tcW w:w="11482" w:type="dxa"/>
          </w:tcPr>
          <w:p w:rsidR="006020E6" w:rsidRDefault="006020E6" w:rsidP="006020E6"/>
        </w:tc>
      </w:tr>
      <w:tr w:rsidR="006020E6" w:rsidTr="006020E6">
        <w:tc>
          <w:tcPr>
            <w:tcW w:w="2547" w:type="dxa"/>
          </w:tcPr>
          <w:p w:rsidR="006020E6" w:rsidRDefault="006020E6" w:rsidP="006020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57225" cy="699626"/>
                  <wp:effectExtent l="0" t="0" r="0" b="5715"/>
                  <wp:docPr id="3" name="Picture 3" descr="http://www.globalresearch.ca/wp-content/uploads/2015/08/Jean-Kambanda_310x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obalresearch.ca/wp-content/uploads/2015/08/Jean-Kambanda_310x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42" cy="70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0E6" w:rsidRDefault="006020E6" w:rsidP="006020E6">
            <w:pPr>
              <w:jc w:val="center"/>
            </w:pPr>
            <w:r>
              <w:t xml:space="preserve">Jean </w:t>
            </w:r>
            <w:proofErr w:type="spellStart"/>
            <w:r>
              <w:t>Kambanda</w:t>
            </w:r>
            <w:proofErr w:type="spellEnd"/>
          </w:p>
        </w:tc>
        <w:tc>
          <w:tcPr>
            <w:tcW w:w="11482" w:type="dxa"/>
          </w:tcPr>
          <w:p w:rsidR="006020E6" w:rsidRDefault="006020E6" w:rsidP="006020E6"/>
        </w:tc>
      </w:tr>
    </w:tbl>
    <w:p w:rsidR="006020E6" w:rsidRDefault="006020E6" w:rsidP="006020E6"/>
    <w:p w:rsidR="006020E6" w:rsidRDefault="006020E6" w:rsidP="006020E6">
      <w:pPr>
        <w:pStyle w:val="ListParagraph"/>
        <w:numPr>
          <w:ilvl w:val="0"/>
          <w:numId w:val="1"/>
        </w:numPr>
      </w:pPr>
      <w:r>
        <w:t>Sequence of Events:</w:t>
      </w:r>
      <w:r w:rsidR="005602F9" w:rsidRPr="002E34F2">
        <w:rPr>
          <w:b/>
          <w:u w:val="single"/>
        </w:rPr>
        <w:t xml:space="preserve"> </w:t>
      </w:r>
      <w:r w:rsidR="005602F9" w:rsidRPr="00B900CA">
        <w:rPr>
          <w:b/>
          <w:sz w:val="28"/>
          <w:szCs w:val="28"/>
          <w:u w:val="single"/>
        </w:rPr>
        <w:t>a) The Consolidation of (Hutu) Power</w:t>
      </w:r>
    </w:p>
    <w:p w:rsidR="006020E6" w:rsidRPr="000B7699" w:rsidRDefault="006020E6" w:rsidP="006020E6">
      <w:pPr>
        <w:rPr>
          <w:b/>
          <w:i/>
        </w:rPr>
      </w:pPr>
      <w:r>
        <w:t>Remember, g</w:t>
      </w:r>
      <w:r w:rsidR="00307D4D">
        <w:t xml:space="preserve">ood ‘History’ is about </w:t>
      </w:r>
      <w:r>
        <w:t>good understanding of context.</w:t>
      </w:r>
      <w:r w:rsidR="00995089">
        <w:t xml:space="preserve"> When </w:t>
      </w:r>
      <w:proofErr w:type="spellStart"/>
      <w:r w:rsidR="00995089">
        <w:t>Habyari</w:t>
      </w:r>
      <w:r>
        <w:t>mana</w:t>
      </w:r>
      <w:proofErr w:type="spellEnd"/>
      <w:r>
        <w:t xml:space="preserve"> died, the Hutu Extremists were powerful but not </w:t>
      </w:r>
      <w:r w:rsidR="00995089">
        <w:t>‘</w:t>
      </w:r>
      <w:r>
        <w:t>in</w:t>
      </w:r>
      <w:r w:rsidR="00995089">
        <w:t>’</w:t>
      </w:r>
      <w:r>
        <w:t xml:space="preserve"> power. We have seen that the Head of Intelligence, for example, was half-Tutsi and there were many moderate Hutus who stood in their way. The first priority of the Hutu Power Movement / Zero Network was therefore a directed</w:t>
      </w:r>
      <w:r w:rsidR="00995089">
        <w:t xml:space="preserve"> and swift</w:t>
      </w:r>
      <w:r>
        <w:t xml:space="preserve"> elimination of these elements </w:t>
      </w:r>
      <w:r w:rsidR="00995089">
        <w:t xml:space="preserve">while the confusion and panic caused by the assassination </w:t>
      </w:r>
      <w:r w:rsidR="00307D4D">
        <w:t>gave them a temporary power boost</w:t>
      </w:r>
      <w:r w:rsidR="005602F9">
        <w:t xml:space="preserve">. </w:t>
      </w:r>
      <w:r w:rsidR="00307D4D">
        <w:t>As well as Hutu moderates, the extremists a</w:t>
      </w:r>
      <w:r w:rsidR="000654A0">
        <w:t>lso (potentially) had to contend</w:t>
      </w:r>
      <w:r w:rsidR="00307D4D">
        <w:t xml:space="preserve"> with </w:t>
      </w:r>
      <w:proofErr w:type="spellStart"/>
      <w:r w:rsidR="00307D4D">
        <w:t>Dallaire</w:t>
      </w:r>
      <w:proofErr w:type="spellEnd"/>
      <w:r w:rsidR="00307D4D">
        <w:t xml:space="preserve"> and the UNAMIR forces on the ground</w:t>
      </w:r>
      <w:r w:rsidR="005602F9">
        <w:t>.</w:t>
      </w:r>
      <w:r w:rsidR="000B7699">
        <w:t xml:space="preserve"> </w:t>
      </w:r>
      <w:r w:rsidR="000B7699" w:rsidRPr="000B7699">
        <w:rPr>
          <w:b/>
          <w:i/>
        </w:rPr>
        <w:t>Use Reading 1 on the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9417"/>
      </w:tblGrid>
      <w:tr w:rsidR="005602F9" w:rsidTr="005602F9">
        <w:tc>
          <w:tcPr>
            <w:tcW w:w="1555" w:type="dxa"/>
          </w:tcPr>
          <w:p w:rsidR="005602F9" w:rsidRDefault="005602F9" w:rsidP="006020E6">
            <w:r>
              <w:t>Date</w:t>
            </w:r>
          </w:p>
        </w:tc>
        <w:tc>
          <w:tcPr>
            <w:tcW w:w="2976" w:type="dxa"/>
          </w:tcPr>
          <w:p w:rsidR="005602F9" w:rsidRDefault="005602F9" w:rsidP="006020E6">
            <w:r>
              <w:t>Event</w:t>
            </w:r>
          </w:p>
        </w:tc>
        <w:tc>
          <w:tcPr>
            <w:tcW w:w="9417" w:type="dxa"/>
          </w:tcPr>
          <w:p w:rsidR="005602F9" w:rsidRDefault="005602F9" w:rsidP="006020E6">
            <w:r>
              <w:t>Significance/Elaboration</w:t>
            </w:r>
          </w:p>
        </w:tc>
      </w:tr>
      <w:tr w:rsidR="005602F9" w:rsidTr="005602F9">
        <w:tc>
          <w:tcPr>
            <w:tcW w:w="1555" w:type="dxa"/>
          </w:tcPr>
          <w:p w:rsidR="005602F9" w:rsidRDefault="005602F9" w:rsidP="006020E6">
            <w:r>
              <w:t>7</w:t>
            </w:r>
            <w:r w:rsidRPr="005602F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976" w:type="dxa"/>
          </w:tcPr>
          <w:p w:rsidR="005602F9" w:rsidRDefault="005602F9" w:rsidP="005602F9">
            <w:r>
              <w:t xml:space="preserve">The murder of </w:t>
            </w:r>
            <w:proofErr w:type="spellStart"/>
            <w:r>
              <w:t>Uwilingiyimana</w:t>
            </w:r>
            <w:proofErr w:type="spellEnd"/>
            <w:r>
              <w:t xml:space="preserve"> </w:t>
            </w:r>
          </w:p>
        </w:tc>
        <w:tc>
          <w:tcPr>
            <w:tcW w:w="9417" w:type="dxa"/>
          </w:tcPr>
          <w:p w:rsidR="005602F9" w:rsidRDefault="005602F9" w:rsidP="006020E6"/>
        </w:tc>
      </w:tr>
      <w:tr w:rsidR="005602F9" w:rsidTr="005602F9">
        <w:tc>
          <w:tcPr>
            <w:tcW w:w="1555" w:type="dxa"/>
          </w:tcPr>
          <w:p w:rsidR="005602F9" w:rsidRDefault="005602F9" w:rsidP="006020E6"/>
        </w:tc>
        <w:tc>
          <w:tcPr>
            <w:tcW w:w="2976" w:type="dxa"/>
          </w:tcPr>
          <w:p w:rsidR="005602F9" w:rsidRDefault="005602F9" w:rsidP="006020E6">
            <w:r>
              <w:t>The capture of 10 Belgian peacekeepers</w:t>
            </w:r>
          </w:p>
        </w:tc>
        <w:tc>
          <w:tcPr>
            <w:tcW w:w="9417" w:type="dxa"/>
          </w:tcPr>
          <w:p w:rsidR="005602F9" w:rsidRPr="005602F9" w:rsidRDefault="005602F9" w:rsidP="006020E6">
            <w:pPr>
              <w:rPr>
                <w:sz w:val="16"/>
                <w:szCs w:val="16"/>
              </w:rPr>
            </w:pPr>
            <w:r w:rsidRPr="005602F9">
              <w:rPr>
                <w:i/>
                <w:sz w:val="16"/>
                <w:szCs w:val="16"/>
              </w:rPr>
              <w:t>(Motive, consequence)</w:t>
            </w:r>
          </w:p>
        </w:tc>
      </w:tr>
      <w:tr w:rsidR="005602F9" w:rsidTr="005602F9">
        <w:tc>
          <w:tcPr>
            <w:tcW w:w="1555" w:type="dxa"/>
          </w:tcPr>
          <w:p w:rsidR="005602F9" w:rsidRDefault="005602F9" w:rsidP="006020E6">
            <w:r>
              <w:t>8</w:t>
            </w:r>
            <w:r w:rsidRPr="005602F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976" w:type="dxa"/>
          </w:tcPr>
          <w:p w:rsidR="005602F9" w:rsidRDefault="005602F9" w:rsidP="006020E6">
            <w:r>
              <w:t>Renewal of the Civil War</w:t>
            </w:r>
          </w:p>
        </w:tc>
        <w:tc>
          <w:tcPr>
            <w:tcW w:w="9417" w:type="dxa"/>
          </w:tcPr>
          <w:p w:rsidR="005602F9" w:rsidRPr="005602F9" w:rsidRDefault="005602F9" w:rsidP="006020E6">
            <w:pPr>
              <w:rPr>
                <w:i/>
                <w:sz w:val="16"/>
                <w:szCs w:val="16"/>
              </w:rPr>
            </w:pPr>
            <w:r w:rsidRPr="005602F9">
              <w:rPr>
                <w:i/>
                <w:sz w:val="16"/>
                <w:szCs w:val="16"/>
              </w:rPr>
              <w:t>(RPF responses, Hutu Power thinking?)</w:t>
            </w:r>
          </w:p>
        </w:tc>
      </w:tr>
      <w:tr w:rsidR="005602F9" w:rsidTr="005602F9">
        <w:tc>
          <w:tcPr>
            <w:tcW w:w="1555" w:type="dxa"/>
          </w:tcPr>
          <w:p w:rsidR="005602F9" w:rsidRDefault="005602F9" w:rsidP="006020E6">
            <w:r>
              <w:t>8</w:t>
            </w:r>
            <w:r w:rsidRPr="005602F9">
              <w:rPr>
                <w:vertAlign w:val="superscript"/>
              </w:rPr>
              <w:t>th</w:t>
            </w:r>
            <w:r>
              <w:t xml:space="preserve"> 9</w:t>
            </w:r>
            <w:r w:rsidRPr="005602F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976" w:type="dxa"/>
          </w:tcPr>
          <w:p w:rsidR="005602F9" w:rsidRDefault="005602F9" w:rsidP="006020E6">
            <w:r>
              <w:t xml:space="preserve">Emergence of Colonel </w:t>
            </w:r>
            <w:proofErr w:type="spellStart"/>
            <w:r>
              <w:t>Bagosora</w:t>
            </w:r>
            <w:proofErr w:type="spellEnd"/>
          </w:p>
        </w:tc>
        <w:tc>
          <w:tcPr>
            <w:tcW w:w="9417" w:type="dxa"/>
          </w:tcPr>
          <w:p w:rsidR="005602F9" w:rsidRDefault="005602F9" w:rsidP="006020E6"/>
        </w:tc>
      </w:tr>
      <w:tr w:rsidR="005602F9" w:rsidTr="005602F9">
        <w:tc>
          <w:tcPr>
            <w:tcW w:w="1555" w:type="dxa"/>
          </w:tcPr>
          <w:p w:rsidR="005602F9" w:rsidRDefault="005602F9" w:rsidP="006020E6">
            <w:r>
              <w:t>9</w:t>
            </w:r>
            <w:r w:rsidRPr="005602F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976" w:type="dxa"/>
          </w:tcPr>
          <w:p w:rsidR="005602F9" w:rsidRDefault="00873326" w:rsidP="006020E6">
            <w:r>
              <w:t>Appointment of Interim Government</w:t>
            </w:r>
          </w:p>
        </w:tc>
        <w:tc>
          <w:tcPr>
            <w:tcW w:w="9417" w:type="dxa"/>
          </w:tcPr>
          <w:p w:rsidR="005602F9" w:rsidRPr="00873326" w:rsidRDefault="00873326" w:rsidP="006020E6">
            <w:pPr>
              <w:rPr>
                <w:i/>
                <w:sz w:val="16"/>
                <w:szCs w:val="16"/>
              </w:rPr>
            </w:pPr>
            <w:r w:rsidRPr="00873326">
              <w:rPr>
                <w:i/>
                <w:sz w:val="16"/>
                <w:szCs w:val="16"/>
              </w:rPr>
              <w:t>(</w:t>
            </w:r>
            <w:proofErr w:type="spellStart"/>
            <w:r w:rsidRPr="00873326">
              <w:rPr>
                <w:i/>
                <w:sz w:val="16"/>
                <w:szCs w:val="16"/>
              </w:rPr>
              <w:t>Kambanda</w:t>
            </w:r>
            <w:proofErr w:type="spellEnd"/>
            <w:r w:rsidRPr="00873326">
              <w:rPr>
                <w:i/>
                <w:sz w:val="16"/>
                <w:szCs w:val="16"/>
              </w:rPr>
              <w:t xml:space="preserve">) </w:t>
            </w:r>
          </w:p>
        </w:tc>
      </w:tr>
      <w:tr w:rsidR="00873326" w:rsidTr="00C1599D">
        <w:tc>
          <w:tcPr>
            <w:tcW w:w="4531" w:type="dxa"/>
            <w:gridSpan w:val="2"/>
          </w:tcPr>
          <w:p w:rsidR="00873326" w:rsidRDefault="000654A0" w:rsidP="006020E6">
            <w:r>
              <w:t>Role of RTLM</w:t>
            </w:r>
            <w:r w:rsidR="00873326">
              <w:t xml:space="preserve"> in this period</w:t>
            </w:r>
          </w:p>
        </w:tc>
        <w:tc>
          <w:tcPr>
            <w:tcW w:w="9417" w:type="dxa"/>
          </w:tcPr>
          <w:p w:rsidR="00873326" w:rsidRDefault="00873326" w:rsidP="006020E6"/>
        </w:tc>
      </w:tr>
    </w:tbl>
    <w:p w:rsidR="000B7699" w:rsidRDefault="000B7699" w:rsidP="006020E6"/>
    <w:p w:rsidR="00873326" w:rsidRDefault="00873326" w:rsidP="006020E6">
      <w:r>
        <w:t xml:space="preserve">As you will see, the </w:t>
      </w:r>
      <w:r w:rsidR="00E6626B">
        <w:t>sporadic</w:t>
      </w:r>
      <w:r>
        <w:t xml:space="preserve"> massacring of Tutsi’</w:t>
      </w:r>
      <w:r w:rsidR="00E6626B">
        <w:t xml:space="preserve">s had already begun, </w:t>
      </w:r>
      <w:r w:rsidR="000B7699">
        <w:t>encouraged</w:t>
      </w:r>
      <w:r w:rsidR="000654A0">
        <w:t xml:space="preserve"> by the RTLM</w:t>
      </w:r>
      <w:r w:rsidR="000B7699">
        <w:t xml:space="preserve"> broadcasts</w:t>
      </w:r>
      <w:r w:rsidR="00E6626B">
        <w:t xml:space="preserve">. However, once the Interim Government was firmly in the hands of Hutu Power (along with the re-emergence of the RPF threat which solidified Hutu support behind it) there was a much more decisive role played by the military in organising and coordinating the </w:t>
      </w:r>
      <w:proofErr w:type="spellStart"/>
      <w:r w:rsidR="00E6626B">
        <w:t>Interahamwe</w:t>
      </w:r>
      <w:proofErr w:type="spellEnd"/>
      <w:r w:rsidR="00E6626B">
        <w:t>, the police, their own forces and even</w:t>
      </w:r>
      <w:bookmarkStart w:id="0" w:name="_GoBack"/>
      <w:bookmarkEnd w:id="0"/>
      <w:r w:rsidR="00E6626B">
        <w:t xml:space="preserve"> the Church.</w:t>
      </w:r>
    </w:p>
    <w:p w:rsidR="00E6626B" w:rsidRPr="00B900CA" w:rsidRDefault="00E6626B" w:rsidP="00E6626B">
      <w:pPr>
        <w:ind w:firstLine="720"/>
        <w:rPr>
          <w:b/>
          <w:sz w:val="28"/>
          <w:szCs w:val="28"/>
          <w:u w:val="single"/>
        </w:rPr>
      </w:pPr>
      <w:r w:rsidRPr="00B900CA">
        <w:rPr>
          <w:b/>
          <w:sz w:val="28"/>
          <w:szCs w:val="28"/>
          <w:u w:val="single"/>
        </w:rPr>
        <w:t>b)  The Key Events of ‘The 100 Days’.</w:t>
      </w:r>
    </w:p>
    <w:p w:rsidR="00E6626B" w:rsidRDefault="00E6626B" w:rsidP="00E6626B">
      <w:r>
        <w:t>Follow the</w:t>
      </w:r>
      <w:hyperlink r:id="rId10" w:history="1">
        <w:r w:rsidRPr="002E34F2">
          <w:rPr>
            <w:rStyle w:val="Hyperlink"/>
            <w:b/>
            <w:sz w:val="24"/>
            <w:szCs w:val="24"/>
          </w:rPr>
          <w:t xml:space="preserve"> link to ‘Frontline</w:t>
        </w:r>
      </w:hyperlink>
      <w:r w:rsidRPr="002E34F2">
        <w:rPr>
          <w:b/>
          <w:sz w:val="24"/>
          <w:szCs w:val="24"/>
        </w:rPr>
        <w:t>’</w:t>
      </w:r>
      <w:r>
        <w:t>. Play the interactive timeline, read the events. Simply copy and paste each event into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788"/>
        <w:gridCol w:w="3038"/>
      </w:tblGrid>
      <w:tr w:rsidR="00E6626B" w:rsidTr="002E34F2">
        <w:tc>
          <w:tcPr>
            <w:tcW w:w="2122" w:type="dxa"/>
          </w:tcPr>
          <w:p w:rsidR="00E6626B" w:rsidRDefault="00E6626B" w:rsidP="00E6626B">
            <w:r>
              <w:t>Date</w:t>
            </w:r>
          </w:p>
        </w:tc>
        <w:tc>
          <w:tcPr>
            <w:tcW w:w="8788" w:type="dxa"/>
          </w:tcPr>
          <w:p w:rsidR="00E6626B" w:rsidRDefault="00E6626B" w:rsidP="00E6626B">
            <w:r>
              <w:t>Key Event</w:t>
            </w:r>
          </w:p>
        </w:tc>
        <w:tc>
          <w:tcPr>
            <w:tcW w:w="3038" w:type="dxa"/>
          </w:tcPr>
          <w:p w:rsidR="00E6626B" w:rsidRDefault="00E6626B" w:rsidP="00E6626B">
            <w:r>
              <w:t>Number of Deaths Reached</w:t>
            </w:r>
          </w:p>
        </w:tc>
      </w:tr>
      <w:tr w:rsidR="00E6626B" w:rsidTr="002E34F2">
        <w:tc>
          <w:tcPr>
            <w:tcW w:w="2122" w:type="dxa"/>
          </w:tcPr>
          <w:p w:rsidR="00E6626B" w:rsidRDefault="00E6626B" w:rsidP="00E6626B">
            <w:r>
              <w:t>7</w:t>
            </w:r>
            <w:r w:rsidRPr="00E6626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E6626B" w:rsidTr="002E34F2">
        <w:tc>
          <w:tcPr>
            <w:tcW w:w="2122" w:type="dxa"/>
          </w:tcPr>
          <w:p w:rsidR="00E6626B" w:rsidRDefault="00E6626B" w:rsidP="00E6626B">
            <w:r>
              <w:t>9-11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E6626B" w:rsidTr="002E34F2">
        <w:tc>
          <w:tcPr>
            <w:tcW w:w="2122" w:type="dxa"/>
          </w:tcPr>
          <w:p w:rsidR="00E6626B" w:rsidRDefault="00E6626B" w:rsidP="00E6626B">
            <w:r>
              <w:t>15</w:t>
            </w:r>
            <w:r w:rsidRPr="00E6626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E6626B" w:rsidTr="002E34F2">
        <w:tc>
          <w:tcPr>
            <w:tcW w:w="2122" w:type="dxa"/>
          </w:tcPr>
          <w:p w:rsidR="00E6626B" w:rsidRDefault="00E6626B" w:rsidP="00E6626B">
            <w:r>
              <w:t>16</w:t>
            </w:r>
            <w:r w:rsidRPr="00E6626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E6626B" w:rsidTr="002E34F2">
        <w:tc>
          <w:tcPr>
            <w:tcW w:w="2122" w:type="dxa"/>
          </w:tcPr>
          <w:p w:rsidR="00E6626B" w:rsidRDefault="00E6626B" w:rsidP="00E6626B">
            <w:r>
              <w:t>19</w:t>
            </w:r>
            <w:r w:rsidRPr="00E6626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E6626B" w:rsidTr="002E34F2">
        <w:tc>
          <w:tcPr>
            <w:tcW w:w="2122" w:type="dxa"/>
          </w:tcPr>
          <w:p w:rsidR="00E6626B" w:rsidRDefault="002E34F2" w:rsidP="00E6626B">
            <w:r>
              <w:t>21-22</w:t>
            </w:r>
            <w:r w:rsidRPr="002E34F2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E6626B" w:rsidTr="002E34F2">
        <w:tc>
          <w:tcPr>
            <w:tcW w:w="2122" w:type="dxa"/>
          </w:tcPr>
          <w:p w:rsidR="00E6626B" w:rsidRDefault="002E34F2" w:rsidP="00E6626B">
            <w:r>
              <w:t>25</w:t>
            </w:r>
            <w:r w:rsidRPr="002E34F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E6626B" w:rsidRDefault="00E6626B" w:rsidP="00E6626B"/>
        </w:tc>
        <w:tc>
          <w:tcPr>
            <w:tcW w:w="3038" w:type="dxa"/>
          </w:tcPr>
          <w:p w:rsidR="00E6626B" w:rsidRDefault="00E6626B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27</w:t>
            </w:r>
            <w:r w:rsidRPr="002E34F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28</w:t>
            </w:r>
            <w:r w:rsidRPr="002E34F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1</w:t>
            </w:r>
            <w:r w:rsidRPr="002E34F2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3</w:t>
            </w:r>
            <w:r w:rsidRPr="002E34F2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5</w:t>
            </w:r>
            <w:r w:rsidRPr="002E34F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13</w:t>
            </w:r>
            <w:r w:rsidRPr="002E34F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17</w:t>
            </w:r>
            <w:r w:rsidRPr="002E34F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lastRenderedPageBreak/>
              <w:t>25</w:t>
            </w:r>
            <w:r w:rsidRPr="002E34F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22</w:t>
            </w:r>
            <w:r w:rsidRPr="002E34F2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  <w:tr w:rsidR="002E34F2" w:rsidTr="002E34F2">
        <w:tc>
          <w:tcPr>
            <w:tcW w:w="2122" w:type="dxa"/>
          </w:tcPr>
          <w:p w:rsidR="002E34F2" w:rsidRDefault="002E34F2" w:rsidP="00E6626B">
            <w:r>
              <w:t>17</w:t>
            </w:r>
            <w:r w:rsidRPr="002E34F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788" w:type="dxa"/>
          </w:tcPr>
          <w:p w:rsidR="002E34F2" w:rsidRDefault="002E34F2" w:rsidP="00E6626B"/>
        </w:tc>
        <w:tc>
          <w:tcPr>
            <w:tcW w:w="3038" w:type="dxa"/>
          </w:tcPr>
          <w:p w:rsidR="002E34F2" w:rsidRDefault="002E34F2" w:rsidP="00E6626B"/>
        </w:tc>
      </w:tr>
    </w:tbl>
    <w:p w:rsidR="00E6626B" w:rsidRDefault="00E6626B" w:rsidP="00E6626B"/>
    <w:p w:rsidR="002E34F2" w:rsidRDefault="002E34F2" w:rsidP="00E6626B">
      <w:r>
        <w:t>Highlight in red: Events that indicate international failure to act.</w:t>
      </w:r>
    </w:p>
    <w:p w:rsidR="002E34F2" w:rsidRDefault="002E34F2" w:rsidP="00E6626B">
      <w:r>
        <w:t>Highlight in blue: Evidence that indicates that the genocide was planned rather than spontaneous.</w:t>
      </w:r>
    </w:p>
    <w:p w:rsidR="002E34F2" w:rsidRDefault="002E34F2" w:rsidP="00E6626B">
      <w:r>
        <w:t xml:space="preserve">Highlight in green: Evidence that </w:t>
      </w:r>
      <w:proofErr w:type="spellStart"/>
      <w:r>
        <w:t>Dallair</w:t>
      </w:r>
      <w:r w:rsidR="009F0559">
        <w:t>e</w:t>
      </w:r>
      <w:proofErr w:type="spellEnd"/>
      <w:r w:rsidR="009F0559">
        <w:t xml:space="preserve"> tri</w:t>
      </w:r>
      <w:r>
        <w:t>ed to prevent the genocide</w:t>
      </w:r>
      <w:r w:rsidR="002731DF">
        <w:t>.</w:t>
      </w:r>
    </w:p>
    <w:p w:rsidR="002E34F2" w:rsidRPr="00B900CA" w:rsidRDefault="009F0559" w:rsidP="009F0559">
      <w:pPr>
        <w:ind w:firstLine="720"/>
        <w:rPr>
          <w:b/>
          <w:sz w:val="28"/>
          <w:szCs w:val="28"/>
          <w:u w:val="single"/>
        </w:rPr>
      </w:pPr>
      <w:r w:rsidRPr="00B900CA">
        <w:rPr>
          <w:b/>
          <w:sz w:val="28"/>
          <w:szCs w:val="28"/>
          <w:u w:val="single"/>
        </w:rPr>
        <w:t>c) Witnesses to Genocide</w:t>
      </w:r>
    </w:p>
    <w:p w:rsidR="00B900CA" w:rsidRDefault="00E11216" w:rsidP="00B900CA">
      <w:hyperlink r:id="rId11" w:history="1">
        <w:r w:rsidR="00B900CA" w:rsidRPr="004D1962">
          <w:rPr>
            <w:rStyle w:val="Hyperlink"/>
          </w:rPr>
          <w:t xml:space="preserve">Watch </w:t>
        </w:r>
        <w:r w:rsidR="004D1962" w:rsidRPr="004D1962">
          <w:rPr>
            <w:rStyle w:val="Hyperlink"/>
          </w:rPr>
          <w:t>video 1, 2, 3, 5 (Fergal), 7 (Last US</w:t>
        </w:r>
      </w:hyperlink>
      <w:r w:rsidR="004D1962" w:rsidRPr="000903AD">
        <w:rPr>
          <w:color w:val="8EAADB" w:themeColor="accent5" w:themeTint="99"/>
        </w:rPr>
        <w:t>)</w:t>
      </w:r>
      <w:r w:rsidR="00617D94">
        <w:t xml:space="preserve"> [</w:t>
      </w:r>
      <w:r w:rsidR="00617D94" w:rsidRPr="00617D94">
        <w:rPr>
          <w:b/>
          <w:i/>
        </w:rPr>
        <w:t>use Internet Explorer</w:t>
      </w:r>
      <w:r w:rsidR="00617D94">
        <w:t>]</w:t>
      </w:r>
      <w:r w:rsidR="00F5332A">
        <w:t xml:space="preserve"> They are all voices from witnesses of the genocide –</w:t>
      </w:r>
      <w:r w:rsidR="004D1962">
        <w:t xml:space="preserve"> try to take a different one each. If there is time, share. Make some notes in the frame below – see if they shed any light on the guiding questions (you may wish to add your own in at this point too</w:t>
      </w:r>
      <w:r w:rsidR="00A40ED5">
        <w:t>)</w:t>
      </w:r>
      <w:r w:rsidR="004D196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40ED5" w:rsidTr="00A40ED5">
        <w:tc>
          <w:tcPr>
            <w:tcW w:w="13948" w:type="dxa"/>
          </w:tcPr>
          <w:p w:rsidR="00A40ED5" w:rsidRDefault="00A40ED5" w:rsidP="00B900CA">
            <w:pPr>
              <w:rPr>
                <w:b/>
                <w:i/>
                <w:sz w:val="16"/>
                <w:szCs w:val="16"/>
              </w:rPr>
            </w:pPr>
            <w:r w:rsidRPr="00A40ED5">
              <w:rPr>
                <w:b/>
                <w:i/>
                <w:sz w:val="16"/>
                <w:szCs w:val="16"/>
              </w:rPr>
              <w:t xml:space="preserve">Motivation of murderers, role of community leaders, clergy, evidence of moderate Hutus, reactions of victims, RPF, role of army vs </w:t>
            </w:r>
            <w:proofErr w:type="spellStart"/>
            <w:r w:rsidRPr="00A40ED5">
              <w:rPr>
                <w:b/>
                <w:i/>
                <w:sz w:val="16"/>
                <w:szCs w:val="16"/>
              </w:rPr>
              <w:t>Interahamwe</w:t>
            </w:r>
            <w:proofErr w:type="spellEnd"/>
            <w:r w:rsidRPr="00A40ED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40ED5">
              <w:rPr>
                <w:b/>
                <w:i/>
                <w:sz w:val="16"/>
                <w:szCs w:val="16"/>
              </w:rPr>
              <w:t>etc</w:t>
            </w:r>
            <w:proofErr w:type="spellEnd"/>
          </w:p>
          <w:p w:rsidR="00A40ED5" w:rsidRDefault="00A40ED5" w:rsidP="00B900CA">
            <w:pPr>
              <w:rPr>
                <w:b/>
                <w:i/>
                <w:sz w:val="16"/>
                <w:szCs w:val="16"/>
              </w:rPr>
            </w:pPr>
          </w:p>
          <w:p w:rsidR="00A40ED5" w:rsidRDefault="00A40ED5" w:rsidP="00B900CA">
            <w:pPr>
              <w:rPr>
                <w:b/>
                <w:i/>
                <w:sz w:val="16"/>
                <w:szCs w:val="16"/>
              </w:rPr>
            </w:pPr>
          </w:p>
          <w:p w:rsidR="00A40ED5" w:rsidRDefault="00A40ED5" w:rsidP="00B900CA">
            <w:pPr>
              <w:rPr>
                <w:b/>
                <w:i/>
                <w:sz w:val="16"/>
                <w:szCs w:val="16"/>
              </w:rPr>
            </w:pPr>
          </w:p>
          <w:p w:rsidR="00A40ED5" w:rsidRDefault="00A40ED5" w:rsidP="00B900CA">
            <w:pPr>
              <w:rPr>
                <w:b/>
                <w:i/>
                <w:sz w:val="16"/>
                <w:szCs w:val="16"/>
              </w:rPr>
            </w:pPr>
          </w:p>
          <w:p w:rsidR="00A40ED5" w:rsidRDefault="00A40ED5" w:rsidP="00B900CA">
            <w:pPr>
              <w:rPr>
                <w:b/>
                <w:i/>
                <w:sz w:val="16"/>
                <w:szCs w:val="16"/>
              </w:rPr>
            </w:pPr>
          </w:p>
          <w:p w:rsidR="00A40ED5" w:rsidRPr="00A40ED5" w:rsidRDefault="00A40ED5" w:rsidP="00B900CA">
            <w:pPr>
              <w:rPr>
                <w:b/>
                <w:sz w:val="16"/>
                <w:szCs w:val="16"/>
              </w:rPr>
            </w:pPr>
          </w:p>
        </w:tc>
      </w:tr>
    </w:tbl>
    <w:p w:rsidR="00A40ED5" w:rsidRDefault="00A40ED5" w:rsidP="00B900CA"/>
    <w:p w:rsidR="004D1962" w:rsidRDefault="004D1962" w:rsidP="00AF6549">
      <w:pPr>
        <w:ind w:firstLine="720"/>
        <w:rPr>
          <w:b/>
          <w:sz w:val="28"/>
          <w:szCs w:val="28"/>
          <w:u w:val="single"/>
        </w:rPr>
      </w:pPr>
      <w:r w:rsidRPr="004D1962">
        <w:rPr>
          <w:b/>
          <w:sz w:val="28"/>
          <w:szCs w:val="28"/>
          <w:u w:val="single"/>
        </w:rPr>
        <w:t>d)</w:t>
      </w:r>
      <w:r>
        <w:rPr>
          <w:b/>
          <w:sz w:val="28"/>
          <w:szCs w:val="28"/>
          <w:u w:val="single"/>
        </w:rPr>
        <w:t xml:space="preserve"> Case Study of </w:t>
      </w:r>
      <w:r w:rsidR="00617D94">
        <w:rPr>
          <w:b/>
          <w:sz w:val="28"/>
          <w:szCs w:val="28"/>
          <w:u w:val="single"/>
        </w:rPr>
        <w:t>‘Known’</w:t>
      </w:r>
      <w:r w:rsidR="00B91F0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Incidents</w:t>
      </w:r>
    </w:p>
    <w:p w:rsidR="00AF6549" w:rsidRPr="00A40ED5" w:rsidRDefault="005D1292" w:rsidP="00AF6549">
      <w:r w:rsidRPr="00A40ED5">
        <w:t>Split into pairs and focus on one of the main incidents of the genocide.</w:t>
      </w:r>
      <w:r w:rsidR="00897E74" w:rsidRPr="00A40ED5">
        <w:t xml:space="preserve"> Download one of the case studies </w:t>
      </w:r>
      <w:r w:rsidR="00995089">
        <w:t xml:space="preserve">on the website </w:t>
      </w:r>
      <w:r w:rsidR="00897E74" w:rsidRPr="00A40ED5">
        <w:t>and interrogate the sources to add to your understanding</w:t>
      </w:r>
      <w:r w:rsidR="00A40ED5" w:rsidRPr="00A40ED5">
        <w:t xml:space="preserve"> of the general sweep of events that we have already examined.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40ED5" w:rsidTr="00A40ED5">
        <w:tc>
          <w:tcPr>
            <w:tcW w:w="13948" w:type="dxa"/>
          </w:tcPr>
          <w:p w:rsidR="00A40ED5" w:rsidRDefault="00A40ED5" w:rsidP="00AF6549">
            <w:pPr>
              <w:rPr>
                <w:b/>
              </w:rPr>
            </w:pPr>
            <w:r>
              <w:rPr>
                <w:b/>
              </w:rPr>
              <w:t xml:space="preserve">Events at </w:t>
            </w:r>
            <w:proofErr w:type="spellStart"/>
            <w:r>
              <w:rPr>
                <w:b/>
              </w:rPr>
              <w:t>Nyaraubuye</w:t>
            </w:r>
            <w:proofErr w:type="spellEnd"/>
            <w:r>
              <w:rPr>
                <w:b/>
              </w:rPr>
              <w:t>, 14-15</w:t>
            </w:r>
            <w:r w:rsidRPr="00A40E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1994</w:t>
            </w:r>
          </w:p>
          <w:p w:rsidR="00A40ED5" w:rsidRDefault="00A40ED5" w:rsidP="00AF6549">
            <w:pPr>
              <w:rPr>
                <w:b/>
              </w:rPr>
            </w:pPr>
          </w:p>
        </w:tc>
      </w:tr>
      <w:tr w:rsidR="00A40ED5" w:rsidTr="00A40ED5">
        <w:tc>
          <w:tcPr>
            <w:tcW w:w="13948" w:type="dxa"/>
          </w:tcPr>
          <w:p w:rsidR="00A40ED5" w:rsidRDefault="00A40ED5" w:rsidP="00A40ED5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Ntarama</w:t>
            </w:r>
            <w:proofErr w:type="spellEnd"/>
            <w:r>
              <w:rPr>
                <w:b/>
              </w:rPr>
              <w:t xml:space="preserve"> Massacre, 15-16</w:t>
            </w:r>
            <w:r w:rsidRPr="00A40ED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1994</w:t>
            </w:r>
          </w:p>
          <w:p w:rsidR="00A40ED5" w:rsidRDefault="00A40ED5" w:rsidP="00A40ED5">
            <w:pPr>
              <w:tabs>
                <w:tab w:val="left" w:pos="2385"/>
              </w:tabs>
              <w:rPr>
                <w:b/>
              </w:rPr>
            </w:pPr>
          </w:p>
        </w:tc>
      </w:tr>
    </w:tbl>
    <w:p w:rsidR="00656BFC" w:rsidRDefault="00656BFC" w:rsidP="00AF6549">
      <w:pPr>
        <w:rPr>
          <w:b/>
        </w:rPr>
      </w:pPr>
    </w:p>
    <w:p w:rsidR="00617D94" w:rsidRPr="005D1292" w:rsidRDefault="00617D94" w:rsidP="00AF6549">
      <w:pPr>
        <w:rPr>
          <w:b/>
        </w:rPr>
      </w:pPr>
    </w:p>
    <w:sectPr w:rsidR="00617D94" w:rsidRPr="005D1292" w:rsidSect="006020E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16" w:rsidRDefault="00E11216" w:rsidP="00524962">
      <w:pPr>
        <w:spacing w:after="0" w:line="240" w:lineRule="auto"/>
      </w:pPr>
      <w:r>
        <w:separator/>
      </w:r>
    </w:p>
  </w:endnote>
  <w:endnote w:type="continuationSeparator" w:id="0">
    <w:p w:rsidR="00E11216" w:rsidRDefault="00E11216" w:rsidP="0052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16" w:rsidRDefault="00E11216" w:rsidP="00524962">
      <w:pPr>
        <w:spacing w:after="0" w:line="240" w:lineRule="auto"/>
      </w:pPr>
      <w:r>
        <w:separator/>
      </w:r>
    </w:p>
  </w:footnote>
  <w:footnote w:type="continuationSeparator" w:id="0">
    <w:p w:rsidR="00E11216" w:rsidRDefault="00E11216" w:rsidP="0052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62" w:rsidRDefault="005249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24962" w:rsidRDefault="0052496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Key Events of the 100 days of genocide</w:t>
                              </w:r>
                              <w:r w:rsidR="005602F9">
                                <w:rPr>
                                  <w:caps/>
                                  <w:color w:val="FFFFFF" w:themeColor="background1"/>
                                </w:rPr>
                                <w:t>, 1994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24962" w:rsidRDefault="0052496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Key Events of the 100 days of genocide</w:t>
                        </w:r>
                        <w:r w:rsidR="005602F9">
                          <w:rPr>
                            <w:caps/>
                            <w:color w:val="FFFFFF" w:themeColor="background1"/>
                          </w:rPr>
                          <w:t>, 1994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7365"/>
    <w:multiLevelType w:val="hybridMultilevel"/>
    <w:tmpl w:val="711EF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2"/>
    <w:rsid w:val="000654A0"/>
    <w:rsid w:val="000903AD"/>
    <w:rsid w:val="000B7699"/>
    <w:rsid w:val="001711C1"/>
    <w:rsid w:val="002731DF"/>
    <w:rsid w:val="002E34F2"/>
    <w:rsid w:val="00307D4D"/>
    <w:rsid w:val="003515DE"/>
    <w:rsid w:val="00401E64"/>
    <w:rsid w:val="004D1962"/>
    <w:rsid w:val="00524962"/>
    <w:rsid w:val="005602F9"/>
    <w:rsid w:val="005C1D5C"/>
    <w:rsid w:val="005D1292"/>
    <w:rsid w:val="006020E6"/>
    <w:rsid w:val="00617D94"/>
    <w:rsid w:val="00656BFC"/>
    <w:rsid w:val="00873326"/>
    <w:rsid w:val="00897E74"/>
    <w:rsid w:val="0094600F"/>
    <w:rsid w:val="00995089"/>
    <w:rsid w:val="009F0559"/>
    <w:rsid w:val="00A40ED5"/>
    <w:rsid w:val="00AF6549"/>
    <w:rsid w:val="00B900CA"/>
    <w:rsid w:val="00B91F07"/>
    <w:rsid w:val="00E11216"/>
    <w:rsid w:val="00E6626B"/>
    <w:rsid w:val="00F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9320"/>
  <w15:chartTrackingRefBased/>
  <w15:docId w15:val="{77DB6532-6AAC-4B80-8F32-A2D3DA4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62"/>
  </w:style>
  <w:style w:type="paragraph" w:styleId="Footer">
    <w:name w:val="footer"/>
    <w:basedOn w:val="Normal"/>
    <w:link w:val="FooterChar"/>
    <w:uiPriority w:val="99"/>
    <w:unhideWhenUsed/>
    <w:rsid w:val="0052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62"/>
  </w:style>
  <w:style w:type="paragraph" w:styleId="ListParagraph">
    <w:name w:val="List Paragraph"/>
    <w:basedOn w:val="Normal"/>
    <w:uiPriority w:val="34"/>
    <w:qFormat/>
    <w:rsid w:val="006020E6"/>
    <w:pPr>
      <w:ind w:left="720"/>
      <w:contextualSpacing/>
    </w:pPr>
  </w:style>
  <w:style w:type="table" w:styleId="TableGrid">
    <w:name w:val="Table Grid"/>
    <w:basedOn w:val="TableNormal"/>
    <w:uiPriority w:val="39"/>
    <w:rsid w:val="0060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org/wgbh/pages/frontline/shows/ghosts/vide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bs.org/wgbh/pages/frontline/shows/ghosts/etc/cr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Events of the 100 days of genocide, 1994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Events of the 100 days of genocide, 1994</dc:title>
  <dc:subject/>
  <dc:creator>James Tipney</dc:creator>
  <cp:keywords/>
  <dc:description/>
  <cp:lastModifiedBy>James Tipney</cp:lastModifiedBy>
  <cp:revision>2</cp:revision>
  <dcterms:created xsi:type="dcterms:W3CDTF">2016-09-29T04:08:00Z</dcterms:created>
  <dcterms:modified xsi:type="dcterms:W3CDTF">2016-09-29T04:08:00Z</dcterms:modified>
</cp:coreProperties>
</file>